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C0F801">
      <w:pPr>
        <w:pStyle w:val="2"/>
        <w:keepNext w:val="0"/>
        <w:keepLines w:val="0"/>
        <w:pageBreakBefore w:val="0"/>
        <w:widowControl w:val="0"/>
        <w:kinsoku/>
        <w:wordWrap/>
        <w:overflowPunct/>
        <w:topLinePunct w:val="0"/>
        <w:autoSpaceDE/>
        <w:autoSpaceDN/>
        <w:bidi w:val="0"/>
        <w:adjustRightInd/>
        <w:snapToGrid/>
        <w:spacing w:before="313" w:beforeLines="100" w:line="2000" w:lineRule="exact"/>
        <w:ind w:left="0" w:leftChars="0"/>
        <w:textAlignment w:val="auto"/>
        <w:rPr>
          <w:rFonts w:hint="eastAsia"/>
          <w:lang w:val="en-US" w:eastAsia="zh-CN"/>
        </w:rPr>
      </w:pPr>
      <w:r>
        <w:rPr>
          <w:rFonts w:hint="eastAsia" w:ascii="方正小标宋简体" w:hAnsi="华文中宋" w:eastAsia="方正小标宋简体"/>
          <w:color w:val="FF0000"/>
          <w:w w:val="42"/>
          <w:sz w:val="160"/>
          <w:szCs w:val="160"/>
        </w:rPr>
        <w:t>枣庄市市中区人民政府办公室</w:t>
      </w:r>
    </w:p>
    <w:p w14:paraId="42F72167">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default" w:ascii="Times New Roman" w:hAnsi="Times New Roman" w:eastAsia="方正小标宋简体" w:cs="Times New Roman"/>
          <w:b w:val="0"/>
          <w:bCs w:val="0"/>
          <w:kern w:val="2"/>
          <w:sz w:val="44"/>
          <w:szCs w:val="44"/>
          <w:lang w:val="en-US" w:eastAsia="zh-CN"/>
        </w:rPr>
      </w:pPr>
    </w:p>
    <w:p w14:paraId="476E7533">
      <w:pPr>
        <w:keepNext w:val="0"/>
        <w:keepLines w:val="0"/>
        <w:pageBreakBefore w:val="0"/>
        <w:widowControl w:val="0"/>
        <w:kinsoku/>
        <w:wordWrap/>
        <w:overflowPunct/>
        <w:topLinePunct w:val="0"/>
        <w:autoSpaceDE/>
        <w:autoSpaceDN/>
        <w:bidi w:val="0"/>
        <w:adjustRightInd/>
        <w:snapToGrid/>
        <w:spacing w:before="313" w:beforeLines="100" w:line="640" w:lineRule="exact"/>
        <w:ind w:firstLine="0" w:firstLineChars="0"/>
        <w:jc w:val="center"/>
        <w:textAlignment w:val="auto"/>
        <w:rPr>
          <w:rFonts w:hint="default" w:ascii="Times New Roman" w:hAnsi="Times New Roman" w:eastAsia="方正小标宋简体" w:cs="Times New Roman"/>
          <w:b w:val="0"/>
          <w:bCs w:val="0"/>
          <w:kern w:val="2"/>
          <w:sz w:val="44"/>
          <w:szCs w:val="44"/>
        </w:rPr>
      </w:pPr>
      <w:r>
        <w:rPr>
          <w:rFonts w:hint="default" w:ascii="Times New Roman" w:hAnsi="Times New Roman" w:eastAsia="楷体_GB2312" w:cs="Times New Roman"/>
          <w:b w:val="0"/>
          <w:bCs w:val="0"/>
          <w:kern w:val="2"/>
          <w:sz w:val="32"/>
          <w:szCs w:val="32"/>
          <w:lang w:eastAsia="zh-CN"/>
        </w:rPr>
        <w:t>市中政办字〔202</w:t>
      </w:r>
      <w:r>
        <w:rPr>
          <w:rFonts w:hint="default" w:ascii="Times New Roman" w:hAnsi="Times New Roman" w:eastAsia="楷体_GB2312" w:cs="Times New Roman"/>
          <w:b w:val="0"/>
          <w:bCs w:val="0"/>
          <w:kern w:val="2"/>
          <w:sz w:val="32"/>
          <w:szCs w:val="32"/>
          <w:lang w:val="en-US" w:eastAsia="zh-CN"/>
        </w:rPr>
        <w:t>6</w:t>
      </w:r>
      <w:r>
        <w:rPr>
          <w:rFonts w:hint="default" w:ascii="Times New Roman" w:hAnsi="Times New Roman" w:eastAsia="楷体_GB2312" w:cs="Times New Roman"/>
          <w:b w:val="0"/>
          <w:bCs w:val="0"/>
          <w:kern w:val="2"/>
          <w:sz w:val="32"/>
          <w:szCs w:val="32"/>
          <w:lang w:eastAsia="zh-CN"/>
        </w:rPr>
        <w:t>〕</w:t>
      </w:r>
      <w:r>
        <w:rPr>
          <w:rFonts w:hint="eastAsia" w:ascii="Times New Roman" w:hAnsi="Times New Roman" w:eastAsia="楷体_GB2312" w:cs="Times New Roman"/>
          <w:b w:val="0"/>
          <w:bCs w:val="0"/>
          <w:kern w:val="2"/>
          <w:sz w:val="32"/>
          <w:szCs w:val="32"/>
          <w:lang w:val="en-US" w:eastAsia="zh-CN"/>
        </w:rPr>
        <w:t>9</w:t>
      </w:r>
      <w:r>
        <w:rPr>
          <w:rFonts w:hint="default" w:ascii="Times New Roman" w:hAnsi="Times New Roman" w:eastAsia="楷体_GB2312" w:cs="Times New Roman"/>
          <w:b w:val="0"/>
          <w:bCs w:val="0"/>
          <w:kern w:val="2"/>
          <w:sz w:val="32"/>
          <w:szCs w:val="32"/>
          <w:lang w:eastAsia="zh-CN"/>
        </w:rPr>
        <w:t>号</w:t>
      </w:r>
    </w:p>
    <w:p w14:paraId="75B8C010">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default" w:ascii="Times New Roman" w:hAnsi="Times New Roman" w:eastAsia="方正小标宋简体" w:cs="Times New Roman"/>
          <w:b w:val="0"/>
          <w:bCs w:val="0"/>
          <w:kern w:val="2"/>
          <w:sz w:val="44"/>
          <w:szCs w:val="44"/>
          <w:lang w:val="en-US" w:eastAsia="zh-CN"/>
        </w:rPr>
      </w:pPr>
      <w:r>
        <w:rPr>
          <w:rFonts w:hint="eastAsia"/>
        </w:rPr>
        <mc:AlternateContent>
          <mc:Choice Requires="wps">
            <w:drawing>
              <wp:anchor distT="0" distB="0" distL="114300" distR="114300" simplePos="0" relativeHeight="251659264" behindDoc="0" locked="0" layoutInCell="1" allowOverlap="1">
                <wp:simplePos x="0" y="0"/>
                <wp:positionH relativeFrom="page">
                  <wp:posOffset>894080</wp:posOffset>
                </wp:positionH>
                <wp:positionV relativeFrom="page">
                  <wp:posOffset>3683000</wp:posOffset>
                </wp:positionV>
                <wp:extent cx="5760085" cy="3175"/>
                <wp:effectExtent l="0" t="0" r="0" b="0"/>
                <wp:wrapNone/>
                <wp:docPr id="2" name="直接连接符 2"/>
                <wp:cNvGraphicFramePr/>
                <a:graphic xmlns:a="http://schemas.openxmlformats.org/drawingml/2006/main">
                  <a:graphicData uri="http://schemas.microsoft.com/office/word/2010/wordprocessingShape">
                    <wps:wsp>
                      <wps:cNvCnPr/>
                      <wps:spPr>
                        <a:xfrm>
                          <a:off x="0" y="0"/>
                          <a:ext cx="5760085" cy="3175"/>
                        </a:xfrm>
                        <a:prstGeom prst="line">
                          <a:avLst/>
                        </a:prstGeom>
                        <a:ln w="25400" cap="flat" cmpd="sng">
                          <a:solidFill>
                            <a:srgbClr val="FF0000"/>
                          </a:solidFill>
                          <a:prstDash val="solid"/>
                          <a:headEnd type="none" w="med" len="med"/>
                          <a:tailEnd type="none" w="med" len="med"/>
                        </a:ln>
                        <a:effectLst>
                          <a:outerShdw algn="ctr" rotWithShape="0">
                            <a:srgbClr val="C0C0C0"/>
                          </a:outerShdw>
                        </a:effectLst>
                      </wps:spPr>
                      <wps:bodyPr upright="1"/>
                    </wps:wsp>
                  </a:graphicData>
                </a:graphic>
              </wp:anchor>
            </w:drawing>
          </mc:Choice>
          <mc:Fallback>
            <w:pict>
              <v:line id="_x0000_s1026" o:spid="_x0000_s1026" o:spt="20" style="position:absolute;left:0pt;margin-left:70.4pt;margin-top:290pt;height:0.25pt;width:453.55pt;mso-position-horizontal-relative:page;mso-position-vertical-relative:page;z-index:251659264;mso-width-relative:page;mso-height-relative:page;" filled="f" stroked="t" coordsize="21600,21600" o:gfxdata="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BNvZYnZAAAADAEAAA8AAAAAAAAAAQAgAAAAIgAAAGRycy9kb3ducmV2LnhtbFBLAQIUABQAAAAI&#10;AIdO4kBM6hxHJQIAAFMEAAAOAAAAAAAAAAEAIAAAACgBAABkcnMvZTJvRG9jLnhtbFBLBQYAAAAA&#10;BgAGAFkBAAC/BQAAAAA=&#10;">
                <v:fill on="f" focussize="0,0"/>
                <v:stroke weight="2pt" color="#FF0000" joinstyle="round"/>
                <v:imagedata o:title=""/>
                <o:lock v:ext="edit" aspectratio="f"/>
                <v:shadow on="t" color="#C0C0C0" offset="0pt,0pt" origin="0f,0f" matrix="65536f,0f,0f,65536f"/>
              </v:line>
            </w:pict>
          </mc:Fallback>
        </mc:AlternateContent>
      </w:r>
    </w:p>
    <w:p w14:paraId="653098F6">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default" w:ascii="Times New Roman" w:hAnsi="Times New Roman" w:eastAsia="方正小标宋简体" w:cs="Times New Roman"/>
          <w:b w:val="0"/>
          <w:bCs w:val="0"/>
          <w:sz w:val="44"/>
          <w:szCs w:val="44"/>
          <w:highlight w:val="none"/>
        </w:rPr>
      </w:pPr>
    </w:p>
    <w:p w14:paraId="29EFD3B7">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default" w:ascii="Times New Roman" w:hAnsi="Times New Roman" w:eastAsia="方正小标宋简体" w:cs="Times New Roman"/>
          <w:b w:val="0"/>
          <w:bCs w:val="0"/>
          <w:sz w:val="44"/>
          <w:szCs w:val="44"/>
          <w:highlight w:val="none"/>
        </w:rPr>
      </w:pPr>
      <w:r>
        <w:rPr>
          <w:rFonts w:hint="default" w:ascii="Times New Roman" w:hAnsi="Times New Roman" w:eastAsia="方正小标宋简体" w:cs="Times New Roman"/>
          <w:b w:val="0"/>
          <w:bCs w:val="0"/>
          <w:sz w:val="44"/>
          <w:szCs w:val="44"/>
          <w:highlight w:val="none"/>
        </w:rPr>
        <w:t>枣庄市</w:t>
      </w:r>
      <w:r>
        <w:rPr>
          <w:rFonts w:hint="default" w:ascii="Times New Roman" w:hAnsi="Times New Roman" w:eastAsia="方正小标宋简体" w:cs="Times New Roman"/>
          <w:b w:val="0"/>
          <w:bCs w:val="0"/>
          <w:sz w:val="44"/>
          <w:szCs w:val="44"/>
          <w:highlight w:val="none"/>
          <w:lang w:val="en-US" w:eastAsia="zh-CN"/>
        </w:rPr>
        <w:t>市中区</w:t>
      </w:r>
      <w:r>
        <w:rPr>
          <w:rFonts w:hint="default" w:ascii="Times New Roman" w:hAnsi="Times New Roman" w:eastAsia="方正小标宋简体" w:cs="Times New Roman"/>
          <w:b w:val="0"/>
          <w:bCs w:val="0"/>
          <w:sz w:val="44"/>
          <w:szCs w:val="44"/>
          <w:highlight w:val="none"/>
        </w:rPr>
        <w:t>人民政府办公室</w:t>
      </w:r>
    </w:p>
    <w:p w14:paraId="043B2514">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default" w:ascii="Times New Roman" w:hAnsi="Times New Roman" w:eastAsia="方正小标宋简体" w:cs="Times New Roman"/>
          <w:b w:val="0"/>
          <w:bCs w:val="0"/>
          <w:sz w:val="44"/>
          <w:szCs w:val="44"/>
          <w:highlight w:val="none"/>
        </w:rPr>
      </w:pPr>
      <w:r>
        <w:rPr>
          <w:rFonts w:hint="default" w:ascii="Times New Roman" w:hAnsi="Times New Roman" w:eastAsia="方正小标宋简体" w:cs="Times New Roman"/>
          <w:b w:val="0"/>
          <w:bCs w:val="0"/>
          <w:sz w:val="44"/>
          <w:szCs w:val="44"/>
          <w:highlight w:val="none"/>
        </w:rPr>
        <w:t>关于印发</w:t>
      </w:r>
      <w:r>
        <w:rPr>
          <w:rFonts w:hint="eastAsia" w:ascii="Times New Roman" w:hAnsi="Times New Roman" w:eastAsia="方正小标宋简体" w:cs="Times New Roman"/>
          <w:b w:val="0"/>
          <w:bCs w:val="0"/>
          <w:sz w:val="44"/>
          <w:szCs w:val="44"/>
          <w:highlight w:val="none"/>
          <w:lang w:eastAsia="zh-CN"/>
        </w:rPr>
        <w:t>《</w:t>
      </w:r>
      <w:r>
        <w:rPr>
          <w:rFonts w:hint="default" w:ascii="Times New Roman" w:hAnsi="Times New Roman" w:eastAsia="方正小标宋简体" w:cs="Times New Roman"/>
          <w:b w:val="0"/>
          <w:bCs w:val="0"/>
          <w:sz w:val="44"/>
          <w:szCs w:val="44"/>
          <w:highlight w:val="none"/>
          <w:lang w:val="en-US" w:eastAsia="zh-CN"/>
        </w:rPr>
        <w:t>市中区深化营商环境创新提升</w:t>
      </w:r>
      <w:r>
        <w:rPr>
          <w:rFonts w:hint="default" w:ascii="Times New Roman" w:hAnsi="Times New Roman" w:eastAsia="方正小标宋简体" w:cs="Times New Roman"/>
          <w:b w:val="0"/>
          <w:bCs w:val="0"/>
          <w:sz w:val="44"/>
          <w:szCs w:val="44"/>
          <w:highlight w:val="none"/>
        </w:rPr>
        <w:t>行动方案</w:t>
      </w:r>
      <w:r>
        <w:rPr>
          <w:rFonts w:hint="eastAsia" w:ascii="Times New Roman" w:hAnsi="Times New Roman" w:eastAsia="方正小标宋简体" w:cs="Times New Roman"/>
          <w:b w:val="0"/>
          <w:bCs w:val="0"/>
          <w:sz w:val="44"/>
          <w:szCs w:val="44"/>
          <w:highlight w:val="none"/>
          <w:lang w:eastAsia="zh-CN"/>
        </w:rPr>
        <w:t>》</w:t>
      </w:r>
      <w:r>
        <w:rPr>
          <w:rFonts w:hint="default" w:ascii="Times New Roman" w:hAnsi="Times New Roman" w:eastAsia="方正小标宋简体" w:cs="Times New Roman"/>
          <w:b w:val="0"/>
          <w:bCs w:val="0"/>
          <w:sz w:val="44"/>
          <w:szCs w:val="44"/>
          <w:highlight w:val="none"/>
        </w:rPr>
        <w:t>的通知</w:t>
      </w:r>
    </w:p>
    <w:p w14:paraId="16927474">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left"/>
        <w:textAlignment w:val="auto"/>
        <w:rPr>
          <w:rFonts w:hint="default" w:ascii="Times New Roman" w:hAnsi="Times New Roman" w:eastAsia="仿宋_GB2312" w:cs="Times New Roman"/>
          <w:b w:val="0"/>
          <w:bCs w:val="0"/>
          <w:color w:val="auto"/>
          <w:kern w:val="0"/>
          <w:sz w:val="31"/>
          <w:szCs w:val="31"/>
          <w:lang w:val="en-US" w:eastAsia="zh-CN" w:bidi="ar"/>
        </w:rPr>
      </w:pPr>
    </w:p>
    <w:p w14:paraId="22675214">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default" w:ascii="Times New Roman" w:hAnsi="Times New Roman" w:eastAsia="仿宋_GB2312" w:cs="Times New Roman"/>
          <w:b w:val="0"/>
          <w:bCs w:val="0"/>
          <w:color w:val="auto"/>
          <w:spacing w:val="-6"/>
          <w:kern w:val="0"/>
          <w:sz w:val="31"/>
          <w:szCs w:val="31"/>
          <w:lang w:val="en-US" w:eastAsia="zh-CN" w:bidi="ar"/>
        </w:rPr>
      </w:pPr>
      <w:r>
        <w:rPr>
          <w:rFonts w:hint="default" w:ascii="Times New Roman" w:hAnsi="Times New Roman" w:eastAsia="仿宋_GB2312" w:cs="Times New Roman"/>
          <w:b w:val="0"/>
          <w:bCs w:val="0"/>
          <w:color w:val="auto"/>
          <w:spacing w:val="-6"/>
          <w:kern w:val="0"/>
          <w:sz w:val="31"/>
          <w:szCs w:val="31"/>
          <w:lang w:val="en-US" w:eastAsia="zh-CN" w:bidi="ar"/>
        </w:rPr>
        <w:t>各镇</w:t>
      </w:r>
      <w:r>
        <w:rPr>
          <w:rFonts w:hint="eastAsia" w:ascii="Times New Roman" w:hAnsi="Times New Roman" w:eastAsia="仿宋_GB2312" w:cs="Times New Roman"/>
          <w:b w:val="0"/>
          <w:bCs w:val="0"/>
          <w:color w:val="auto"/>
          <w:spacing w:val="-6"/>
          <w:kern w:val="0"/>
          <w:sz w:val="31"/>
          <w:szCs w:val="31"/>
          <w:lang w:val="en-US" w:eastAsia="zh-CN" w:bidi="ar"/>
        </w:rPr>
        <w:t>人民政府，各街道办事处</w:t>
      </w:r>
      <w:r>
        <w:rPr>
          <w:rFonts w:hint="default" w:ascii="Times New Roman" w:hAnsi="Times New Roman" w:eastAsia="仿宋_GB2312" w:cs="Times New Roman"/>
          <w:b w:val="0"/>
          <w:bCs w:val="0"/>
          <w:color w:val="auto"/>
          <w:spacing w:val="-6"/>
          <w:kern w:val="0"/>
          <w:sz w:val="31"/>
          <w:szCs w:val="31"/>
          <w:lang w:val="en-US" w:eastAsia="zh-CN" w:bidi="ar"/>
        </w:rPr>
        <w:t>，区</w:t>
      </w:r>
      <w:r>
        <w:rPr>
          <w:rFonts w:hint="eastAsia" w:ascii="Times New Roman" w:hAnsi="Times New Roman" w:eastAsia="仿宋_GB2312" w:cs="Times New Roman"/>
          <w:b w:val="0"/>
          <w:bCs w:val="0"/>
          <w:color w:val="auto"/>
          <w:spacing w:val="-6"/>
          <w:kern w:val="0"/>
          <w:sz w:val="31"/>
          <w:szCs w:val="31"/>
          <w:lang w:val="en-US" w:eastAsia="zh-CN" w:bidi="ar"/>
        </w:rPr>
        <w:t>政府有</w:t>
      </w:r>
      <w:r>
        <w:rPr>
          <w:rFonts w:hint="default" w:ascii="Times New Roman" w:hAnsi="Times New Roman" w:eastAsia="仿宋_GB2312" w:cs="Times New Roman"/>
          <w:b w:val="0"/>
          <w:bCs w:val="0"/>
          <w:color w:val="auto"/>
          <w:spacing w:val="-6"/>
          <w:kern w:val="0"/>
          <w:sz w:val="31"/>
          <w:szCs w:val="31"/>
          <w:lang w:val="en-US" w:eastAsia="zh-CN" w:bidi="ar"/>
        </w:rPr>
        <w:t>关部门（单位）</w:t>
      </w:r>
      <w:r>
        <w:rPr>
          <w:rFonts w:hint="eastAsia" w:ascii="Times New Roman" w:hAnsi="Times New Roman" w:eastAsia="仿宋_GB2312" w:cs="Times New Roman"/>
          <w:b w:val="0"/>
          <w:bCs w:val="0"/>
          <w:color w:val="auto"/>
          <w:spacing w:val="-6"/>
          <w:kern w:val="0"/>
          <w:sz w:val="31"/>
          <w:szCs w:val="31"/>
          <w:lang w:val="en-US" w:eastAsia="zh-CN" w:bidi="ar"/>
        </w:rPr>
        <w:t>，各企业</w:t>
      </w:r>
      <w:r>
        <w:rPr>
          <w:rFonts w:hint="default" w:ascii="Times New Roman" w:hAnsi="Times New Roman" w:eastAsia="仿宋_GB2312" w:cs="Times New Roman"/>
          <w:b w:val="0"/>
          <w:bCs w:val="0"/>
          <w:color w:val="auto"/>
          <w:spacing w:val="-6"/>
          <w:kern w:val="0"/>
          <w:sz w:val="31"/>
          <w:szCs w:val="31"/>
          <w:lang w:val="en-US" w:eastAsia="zh-CN" w:bidi="ar"/>
        </w:rPr>
        <w:t>：</w:t>
      </w:r>
    </w:p>
    <w:p w14:paraId="20530EF8">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left"/>
        <w:textAlignment w:val="auto"/>
        <w:rPr>
          <w:rFonts w:hint="default" w:ascii="Times New Roman" w:hAnsi="Times New Roman" w:eastAsia="仿宋_GB2312" w:cs="Times New Roman"/>
          <w:b w:val="0"/>
          <w:bCs w:val="0"/>
          <w:color w:val="auto"/>
          <w:kern w:val="0"/>
          <w:sz w:val="31"/>
          <w:szCs w:val="31"/>
          <w:lang w:val="en-US" w:eastAsia="zh-CN" w:bidi="ar"/>
        </w:rPr>
      </w:pPr>
      <w:r>
        <w:rPr>
          <w:rFonts w:hint="default" w:ascii="Times New Roman" w:hAnsi="Times New Roman" w:eastAsia="仿宋_GB2312" w:cs="Times New Roman"/>
          <w:b w:val="0"/>
          <w:bCs w:val="0"/>
          <w:color w:val="auto"/>
          <w:kern w:val="0"/>
          <w:sz w:val="31"/>
          <w:szCs w:val="31"/>
          <w:lang w:val="en-US" w:eastAsia="zh-CN" w:bidi="ar"/>
        </w:rPr>
        <w:t>《市中区深化营商环境创新提升行动方案》已经区委、区政府同意，现印发给你们，请结合实际抓好落实。</w:t>
      </w:r>
    </w:p>
    <w:p w14:paraId="4FD33B52">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left"/>
        <w:textAlignment w:val="auto"/>
        <w:rPr>
          <w:rFonts w:hint="default" w:ascii="Times New Roman" w:hAnsi="Times New Roman" w:eastAsia="仿宋_GB2312" w:cs="Times New Roman"/>
          <w:b w:val="0"/>
          <w:bCs w:val="0"/>
          <w:color w:val="auto"/>
          <w:kern w:val="0"/>
          <w:sz w:val="31"/>
          <w:szCs w:val="31"/>
          <w:lang w:val="en-US" w:eastAsia="zh-CN" w:bidi="ar"/>
        </w:rPr>
      </w:pPr>
    </w:p>
    <w:p w14:paraId="34077E4F">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left"/>
        <w:textAlignment w:val="auto"/>
        <w:rPr>
          <w:rFonts w:hint="default" w:ascii="Times New Roman" w:hAnsi="Times New Roman" w:eastAsia="仿宋_GB2312" w:cs="Times New Roman"/>
          <w:b w:val="0"/>
          <w:bCs w:val="0"/>
          <w:color w:val="auto"/>
          <w:kern w:val="0"/>
          <w:sz w:val="31"/>
          <w:szCs w:val="31"/>
          <w:lang w:val="en-US" w:eastAsia="zh-CN" w:bidi="ar"/>
        </w:rPr>
      </w:pPr>
    </w:p>
    <w:p w14:paraId="7798FBC2">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left"/>
        <w:textAlignment w:val="auto"/>
        <w:rPr>
          <w:rFonts w:hint="default" w:ascii="Times New Roman" w:hAnsi="Times New Roman" w:eastAsia="仿宋_GB2312" w:cs="Times New Roman"/>
          <w:b w:val="0"/>
          <w:bCs w:val="0"/>
          <w:color w:val="auto"/>
          <w:kern w:val="0"/>
          <w:sz w:val="31"/>
          <w:szCs w:val="31"/>
          <w:lang w:val="en-US" w:eastAsia="zh-CN" w:bidi="ar"/>
        </w:rPr>
      </w:pPr>
    </w:p>
    <w:p w14:paraId="49064EE1">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right"/>
        <w:textAlignment w:val="auto"/>
        <w:rPr>
          <w:rFonts w:hint="default" w:ascii="Times New Roman" w:hAnsi="Times New Roman" w:eastAsia="仿宋_GB2312" w:cs="Times New Roman"/>
          <w:b w:val="0"/>
          <w:bCs w:val="0"/>
          <w:color w:val="auto"/>
          <w:kern w:val="0"/>
          <w:sz w:val="31"/>
          <w:szCs w:val="31"/>
          <w:lang w:val="en-US" w:eastAsia="zh-CN" w:bidi="ar"/>
        </w:rPr>
      </w:pPr>
      <w:r>
        <w:rPr>
          <w:rFonts w:hint="default" w:ascii="Times New Roman" w:hAnsi="Times New Roman" w:eastAsia="仿宋_GB2312" w:cs="Times New Roman"/>
          <w:b w:val="0"/>
          <w:bCs w:val="0"/>
          <w:color w:val="auto"/>
          <w:kern w:val="0"/>
          <w:sz w:val="31"/>
          <w:szCs w:val="31"/>
          <w:lang w:val="en-US" w:eastAsia="zh-CN" w:bidi="ar"/>
        </w:rPr>
        <w:t>枣庄市市中区人民政府办公室</w:t>
      </w:r>
    </w:p>
    <w:p w14:paraId="7FBFFAEE">
      <w:pPr>
        <w:ind w:left="0" w:leftChars="0" w:firstLine="0" w:firstLineChars="0"/>
        <w:rPr>
          <w:rFonts w:hint="default" w:ascii="Times New Roman" w:hAnsi="Times New Roman" w:eastAsia="仿宋_GB2312" w:cs="Times New Roman"/>
          <w:b w:val="0"/>
          <w:bCs w:val="0"/>
          <w:color w:val="auto"/>
          <w:kern w:val="0"/>
          <w:sz w:val="31"/>
          <w:szCs w:val="31"/>
          <w:lang w:val="en-US" w:eastAsia="zh-CN" w:bidi="ar"/>
        </w:rPr>
      </w:pPr>
      <w:r>
        <w:rPr>
          <w:rFonts w:hint="default" w:ascii="Times New Roman" w:hAnsi="Times New Roman" w:eastAsia="仿宋_GB2312" w:cs="Times New Roman"/>
          <w:b w:val="0"/>
          <w:bCs w:val="0"/>
          <w:color w:val="auto"/>
          <w:kern w:val="0"/>
          <w:sz w:val="31"/>
          <w:szCs w:val="31"/>
          <w:lang w:val="en-US" w:eastAsia="zh-CN" w:bidi="ar"/>
        </w:rPr>
        <w:t xml:space="preserve">                      </w:t>
      </w:r>
      <w:r>
        <w:rPr>
          <w:rFonts w:hint="eastAsia" w:ascii="Times New Roman" w:hAnsi="Times New Roman" w:eastAsia="仿宋_GB2312" w:cs="Times New Roman"/>
          <w:b w:val="0"/>
          <w:bCs w:val="0"/>
          <w:color w:val="auto"/>
          <w:kern w:val="0"/>
          <w:sz w:val="31"/>
          <w:szCs w:val="31"/>
          <w:lang w:val="en-US" w:eastAsia="zh-CN" w:bidi="ar"/>
        </w:rPr>
        <w:t xml:space="preserve">             </w:t>
      </w:r>
      <w:r>
        <w:rPr>
          <w:rFonts w:hint="default" w:ascii="Times New Roman" w:hAnsi="Times New Roman" w:eastAsia="仿宋_GB2312" w:cs="Times New Roman"/>
          <w:b w:val="0"/>
          <w:bCs w:val="0"/>
          <w:color w:val="auto"/>
          <w:kern w:val="0"/>
          <w:sz w:val="31"/>
          <w:szCs w:val="31"/>
          <w:lang w:val="en-US" w:eastAsia="zh-CN" w:bidi="ar"/>
        </w:rPr>
        <w:t>2026年</w:t>
      </w:r>
      <w:r>
        <w:rPr>
          <w:rFonts w:hint="eastAsia" w:ascii="Times New Roman" w:hAnsi="Times New Roman" w:eastAsia="仿宋_GB2312" w:cs="Times New Roman"/>
          <w:b w:val="0"/>
          <w:bCs w:val="0"/>
          <w:color w:val="auto"/>
          <w:kern w:val="0"/>
          <w:sz w:val="31"/>
          <w:szCs w:val="31"/>
          <w:lang w:val="en-US" w:eastAsia="zh-CN" w:bidi="ar"/>
        </w:rPr>
        <w:t>9</w:t>
      </w:r>
      <w:r>
        <w:rPr>
          <w:rFonts w:hint="default" w:ascii="Times New Roman" w:hAnsi="Times New Roman" w:eastAsia="仿宋_GB2312" w:cs="Times New Roman"/>
          <w:b w:val="0"/>
          <w:bCs w:val="0"/>
          <w:color w:val="auto"/>
          <w:kern w:val="0"/>
          <w:sz w:val="31"/>
          <w:szCs w:val="31"/>
          <w:lang w:val="en-US" w:eastAsia="zh-CN" w:bidi="ar"/>
        </w:rPr>
        <w:t>月</w:t>
      </w:r>
      <w:r>
        <w:rPr>
          <w:rFonts w:hint="eastAsia" w:ascii="Times New Roman" w:hAnsi="Times New Roman" w:eastAsia="仿宋_GB2312" w:cs="Times New Roman"/>
          <w:b w:val="0"/>
          <w:bCs w:val="0"/>
          <w:color w:val="auto"/>
          <w:kern w:val="0"/>
          <w:sz w:val="31"/>
          <w:szCs w:val="31"/>
          <w:lang w:val="en-US" w:eastAsia="zh-CN" w:bidi="ar"/>
        </w:rPr>
        <w:t>9</w:t>
      </w:r>
      <w:r>
        <w:rPr>
          <w:rFonts w:hint="default" w:ascii="Times New Roman" w:hAnsi="Times New Roman" w:eastAsia="仿宋_GB2312" w:cs="Times New Roman"/>
          <w:b w:val="0"/>
          <w:bCs w:val="0"/>
          <w:color w:val="auto"/>
          <w:kern w:val="0"/>
          <w:sz w:val="31"/>
          <w:szCs w:val="31"/>
          <w:lang w:val="en-US" w:eastAsia="zh-CN" w:bidi="ar"/>
        </w:rPr>
        <w:t>日</w:t>
      </w:r>
    </w:p>
    <w:p w14:paraId="69194FAD">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left"/>
        <w:textAlignment w:val="auto"/>
        <w:rPr>
          <w:rFonts w:hint="default" w:ascii="Times New Roman" w:hAnsi="Times New Roman" w:eastAsia="仿宋_GB2312" w:cs="Times New Roman"/>
          <w:b w:val="0"/>
          <w:bCs w:val="0"/>
          <w:color w:val="auto"/>
          <w:kern w:val="0"/>
          <w:sz w:val="31"/>
          <w:szCs w:val="31"/>
          <w:lang w:val="en-US" w:eastAsia="zh-CN" w:bidi="ar"/>
        </w:rPr>
      </w:pPr>
      <w:r>
        <w:rPr>
          <w:rFonts w:hint="default" w:ascii="Times New Roman" w:hAnsi="Times New Roman" w:eastAsia="仿宋_GB2312" w:cs="Times New Roman"/>
          <w:b w:val="0"/>
          <w:bCs w:val="0"/>
          <w:color w:val="auto"/>
          <w:kern w:val="0"/>
          <w:sz w:val="31"/>
          <w:szCs w:val="31"/>
          <w:lang w:val="en-US" w:eastAsia="zh-CN" w:bidi="ar"/>
        </w:rPr>
        <w:t>（此件公开</w:t>
      </w:r>
      <w:r>
        <w:rPr>
          <w:rFonts w:hint="eastAsia" w:ascii="Times New Roman" w:hAnsi="Times New Roman" w:eastAsia="仿宋_GB2312" w:cs="Times New Roman"/>
          <w:b w:val="0"/>
          <w:bCs w:val="0"/>
          <w:color w:val="auto"/>
          <w:kern w:val="0"/>
          <w:sz w:val="31"/>
          <w:szCs w:val="31"/>
          <w:lang w:val="en-US" w:eastAsia="zh-CN" w:bidi="ar"/>
        </w:rPr>
        <w:t>发布</w:t>
      </w:r>
      <w:r>
        <w:rPr>
          <w:rFonts w:hint="default" w:ascii="Times New Roman" w:hAnsi="Times New Roman" w:eastAsia="仿宋_GB2312" w:cs="Times New Roman"/>
          <w:b w:val="0"/>
          <w:bCs w:val="0"/>
          <w:color w:val="auto"/>
          <w:kern w:val="0"/>
          <w:sz w:val="31"/>
          <w:szCs w:val="31"/>
          <w:lang w:val="en-US" w:eastAsia="zh-CN" w:bidi="ar"/>
        </w:rPr>
        <w:t>）</w:t>
      </w:r>
    </w:p>
    <w:p w14:paraId="4E2F2E79">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center"/>
        <w:textAlignment w:val="auto"/>
        <w:rPr>
          <w:rFonts w:hint="default" w:ascii="Times New Roman" w:hAnsi="Times New Roman" w:eastAsia="仿宋_GB2312" w:cs="Times New Roman"/>
          <w:b w:val="0"/>
          <w:bCs w:val="0"/>
          <w:color w:val="auto"/>
          <w:kern w:val="0"/>
          <w:sz w:val="31"/>
          <w:szCs w:val="31"/>
          <w:lang w:val="en-US" w:eastAsia="zh-CN" w:bidi="ar"/>
        </w:rPr>
      </w:pPr>
    </w:p>
    <w:p w14:paraId="31F23F97">
      <w:pPr>
        <w:keepNext w:val="0"/>
        <w:keepLines w:val="0"/>
        <w:pageBreakBefore w:val="0"/>
        <w:widowControl w:val="0"/>
        <w:kinsoku/>
        <w:wordWrap/>
        <w:overflowPunct/>
        <w:topLinePunct w:val="0"/>
        <w:autoSpaceDE/>
        <w:autoSpaceDN/>
        <w:bidi w:val="0"/>
        <w:adjustRightInd/>
        <w:snapToGrid/>
        <w:spacing w:before="313" w:beforeLines="100" w:line="600" w:lineRule="exact"/>
        <w:jc w:val="center"/>
        <w:textAlignment w:val="auto"/>
        <w:rPr>
          <w:b w:val="0"/>
          <w:bCs w:val="0"/>
          <w:color w:val="auto"/>
        </w:rPr>
      </w:pPr>
      <w:r>
        <w:rPr>
          <w:rFonts w:hint="eastAsia"/>
          <w:b w:val="0"/>
          <w:bCs w:val="0"/>
          <w:lang w:val="en-US" w:eastAsia="zh-CN"/>
        </w:rPr>
        <w:br w:type="page"/>
      </w:r>
      <w:r>
        <w:rPr>
          <w:rFonts w:hint="eastAsia" w:ascii="方正小标宋简体" w:hAnsi="方正小标宋简体" w:eastAsia="方正小标宋简体" w:cs="方正小标宋简体"/>
          <w:b w:val="0"/>
          <w:bCs w:val="0"/>
          <w:color w:val="auto"/>
          <w:kern w:val="0"/>
          <w:sz w:val="43"/>
          <w:szCs w:val="43"/>
          <w:lang w:val="en-US" w:eastAsia="zh-CN" w:bidi="ar"/>
        </w:rPr>
        <w:t>市中区</w:t>
      </w:r>
      <w:r>
        <w:rPr>
          <w:rFonts w:ascii="方正小标宋简体" w:hAnsi="方正小标宋简体" w:eastAsia="方正小标宋简体" w:cs="方正小标宋简体"/>
          <w:b w:val="0"/>
          <w:bCs w:val="0"/>
          <w:color w:val="auto"/>
          <w:kern w:val="0"/>
          <w:sz w:val="43"/>
          <w:szCs w:val="43"/>
          <w:lang w:val="en-US" w:eastAsia="zh-CN" w:bidi="ar"/>
        </w:rPr>
        <w:t>深化营商环境创新提升行动方案</w:t>
      </w:r>
    </w:p>
    <w:p w14:paraId="338BF4A4">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center"/>
        <w:textAlignment w:val="auto"/>
        <w:rPr>
          <w:rFonts w:ascii="仿宋_GB2312" w:hAnsi="宋体" w:eastAsia="仿宋_GB2312" w:cs="仿宋_GB2312"/>
          <w:b w:val="0"/>
          <w:bCs w:val="0"/>
          <w:color w:val="auto"/>
          <w:kern w:val="0"/>
          <w:sz w:val="31"/>
          <w:szCs w:val="31"/>
          <w:lang w:val="en-US" w:eastAsia="zh-CN" w:bidi="ar"/>
        </w:rPr>
      </w:pPr>
    </w:p>
    <w:p w14:paraId="1F99A0D5">
      <w:pPr>
        <w:keepNext w:val="0"/>
        <w:keepLines w:val="0"/>
        <w:pageBreakBefore w:val="0"/>
        <w:widowControl w:val="0"/>
        <w:suppressLineNumbers w:val="0"/>
        <w:kinsoku/>
        <w:wordWrap/>
        <w:overflowPunct/>
        <w:topLinePunct w:val="0"/>
        <w:autoSpaceDE/>
        <w:autoSpaceDN/>
        <w:bidi w:val="0"/>
        <w:adjustRightInd/>
        <w:snapToGrid/>
        <w:spacing w:line="560" w:lineRule="exact"/>
        <w:ind w:firstLine="620" w:firstLineChars="200"/>
        <w:jc w:val="both"/>
        <w:textAlignment w:val="auto"/>
        <w:rPr>
          <w:rFonts w:hint="default" w:ascii="Times New Roman" w:hAnsi="Times New Roman" w:eastAsia="仿宋_GB2312" w:cs="Times New Roman"/>
          <w:b w:val="0"/>
          <w:bCs w:val="0"/>
          <w:color w:val="auto"/>
          <w:spacing w:val="0"/>
          <w:sz w:val="32"/>
          <w:szCs w:val="32"/>
        </w:rPr>
      </w:pPr>
      <w:r>
        <w:rPr>
          <w:rFonts w:hint="default" w:ascii="Times New Roman" w:hAnsi="Times New Roman" w:eastAsia="仿宋_GB2312" w:cs="Times New Roman"/>
          <w:b w:val="0"/>
          <w:bCs w:val="0"/>
          <w:color w:val="auto"/>
          <w:spacing w:val="0"/>
          <w:kern w:val="0"/>
          <w:sz w:val="31"/>
          <w:szCs w:val="31"/>
          <w:lang w:val="en-US" w:eastAsia="zh-CN" w:bidi="ar"/>
        </w:rPr>
        <w:t>为全面贯彻落实《枣庄市优化营商环境条例》，紧扣“服务企业年”工作主线，以“高效办成一件事”为牵引，深化制度创新、强化数智赋能、优化发展生态，倾力打造“近者悦、远者来、居者安”的投资高地，结合我区实际，制定本行动方案。</w:t>
      </w:r>
    </w:p>
    <w:p w14:paraId="13335A6A">
      <w:pPr>
        <w:pStyle w:val="3"/>
        <w:keepNext w:val="0"/>
        <w:keepLines w:val="0"/>
        <w:pageBreakBefore w:val="0"/>
        <w:widowControl w:val="0"/>
        <w:numPr>
          <w:ilvl w:val="0"/>
          <w:numId w:val="0"/>
        </w:numPr>
        <w:kinsoku/>
        <w:wordWrap/>
        <w:overflowPunct/>
        <w:topLinePunct w:val="0"/>
        <w:autoSpaceDE/>
        <w:autoSpaceDN/>
        <w:bidi w:val="0"/>
        <w:adjustRightInd/>
        <w:snapToGrid/>
        <w:spacing w:beforeLines="0" w:afterLines="0" w:line="560" w:lineRule="exact"/>
        <w:ind w:left="0" w:leftChars="0" w:firstLine="640" w:firstLineChars="200"/>
        <w:jc w:val="both"/>
        <w:textAlignment w:val="auto"/>
        <w:rPr>
          <w:rFonts w:hint="default" w:ascii="Times New Roman" w:hAnsi="Times New Roman" w:eastAsia="黑体" w:cs="Times New Roman"/>
          <w:b w:val="0"/>
          <w:bCs w:val="0"/>
          <w:color w:val="auto"/>
          <w:spacing w:val="0"/>
          <w:lang w:eastAsia="zh-CN"/>
        </w:rPr>
      </w:pPr>
      <w:r>
        <w:rPr>
          <w:rFonts w:hint="default" w:ascii="Times New Roman" w:hAnsi="Times New Roman" w:cs="Times New Roman"/>
          <w:b w:val="0"/>
          <w:bCs w:val="0"/>
          <w:color w:val="auto"/>
          <w:spacing w:val="0"/>
          <w:lang w:eastAsia="zh-CN"/>
        </w:rPr>
        <w:t>一、</w:t>
      </w:r>
      <w:r>
        <w:rPr>
          <w:rFonts w:hint="default" w:ascii="Times New Roman" w:hAnsi="Times New Roman" w:cs="Times New Roman"/>
          <w:b w:val="0"/>
          <w:bCs w:val="0"/>
          <w:color w:val="auto"/>
          <w:spacing w:val="0"/>
          <w:lang w:val="en-US" w:eastAsia="zh-CN"/>
        </w:rPr>
        <w:t>持续</w:t>
      </w:r>
      <w:r>
        <w:rPr>
          <w:rFonts w:hint="default" w:ascii="Times New Roman" w:hAnsi="Times New Roman" w:cs="Times New Roman"/>
          <w:b w:val="0"/>
          <w:bCs w:val="0"/>
          <w:color w:val="auto"/>
          <w:spacing w:val="0"/>
        </w:rPr>
        <w:t>升级政务服务，提</w:t>
      </w:r>
      <w:r>
        <w:rPr>
          <w:rFonts w:hint="default" w:ascii="Times New Roman" w:hAnsi="Times New Roman" w:cs="Times New Roman"/>
          <w:b w:val="0"/>
          <w:bCs w:val="0"/>
          <w:color w:val="auto"/>
          <w:spacing w:val="0"/>
          <w:lang w:val="en-US" w:eastAsia="zh-CN"/>
        </w:rPr>
        <w:t>高</w:t>
      </w:r>
      <w:r>
        <w:rPr>
          <w:rFonts w:hint="default" w:ascii="Times New Roman" w:hAnsi="Times New Roman" w:cs="Times New Roman"/>
          <w:b w:val="0"/>
          <w:bCs w:val="0"/>
          <w:color w:val="auto"/>
          <w:spacing w:val="0"/>
        </w:rPr>
        <w:t>企业办事效率</w:t>
      </w:r>
      <w:bookmarkStart w:id="0" w:name="_GoBack"/>
      <w:bookmarkEnd w:id="0"/>
    </w:p>
    <w:p w14:paraId="39CD2EF6">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cs="Times New Roman"/>
          <w:b w:val="0"/>
          <w:bCs w:val="0"/>
          <w:color w:val="auto"/>
          <w:spacing w:val="0"/>
          <w:kern w:val="0"/>
          <w:sz w:val="32"/>
          <w:szCs w:val="32"/>
          <w:highlight w:val="none"/>
          <w:lang w:val="en-US" w:eastAsia="zh-CN" w:bidi="ar-SA"/>
        </w:rPr>
      </w:pPr>
      <w:r>
        <w:rPr>
          <w:rStyle w:val="11"/>
          <w:rFonts w:hint="default" w:ascii="Times New Roman" w:hAnsi="Times New Roman" w:eastAsia="楷体_GB2312" w:cs="Times New Roman"/>
          <w:b/>
          <w:bCs/>
          <w:color w:val="auto"/>
          <w:spacing w:val="0"/>
          <w:lang w:eastAsia="zh-CN"/>
        </w:rPr>
        <w:t>（一）</w:t>
      </w:r>
      <w:r>
        <w:rPr>
          <w:rStyle w:val="11"/>
          <w:rFonts w:hint="default" w:ascii="Times New Roman" w:hAnsi="Times New Roman" w:cs="Times New Roman"/>
          <w:b/>
          <w:bCs/>
          <w:color w:val="auto"/>
          <w:spacing w:val="0"/>
        </w:rPr>
        <w:t>推进政务服务体系转型升级</w:t>
      </w:r>
      <w:r>
        <w:rPr>
          <w:rFonts w:hint="default" w:ascii="Times New Roman" w:hAnsi="Times New Roman" w:eastAsia="仿宋_GB2312" w:cs="Times New Roman"/>
          <w:b/>
          <w:bCs/>
          <w:color w:val="auto"/>
          <w:spacing w:val="0"/>
          <w:sz w:val="32"/>
          <w:szCs w:val="32"/>
        </w:rPr>
        <w:t>。</w:t>
      </w:r>
      <w:r>
        <w:rPr>
          <w:rFonts w:hint="default" w:ascii="Times New Roman" w:hAnsi="Times New Roman" w:eastAsia="仿宋_GB2312" w:cs="Times New Roman"/>
          <w:b w:val="0"/>
          <w:bCs w:val="0"/>
          <w:color w:val="auto"/>
          <w:spacing w:val="0"/>
          <w:sz w:val="32"/>
          <w:szCs w:val="32"/>
        </w:rPr>
        <w:t>开展“政务服务转型升级年”行动，</w:t>
      </w:r>
      <w:r>
        <w:rPr>
          <w:rFonts w:hint="default" w:ascii="Times New Roman" w:hAnsi="Times New Roman" w:eastAsia="仿宋_GB2312" w:cs="Times New Roman"/>
          <w:b w:val="0"/>
          <w:bCs w:val="0"/>
          <w:color w:val="auto"/>
          <w:spacing w:val="0"/>
          <w:sz w:val="32"/>
          <w:szCs w:val="32"/>
          <w:lang w:eastAsia="zh-CN"/>
        </w:rPr>
        <w:t>构建以区政务服务中心为主干、镇级中心为分支</w:t>
      </w:r>
      <w:r>
        <w:rPr>
          <w:rFonts w:hint="default" w:ascii="Times New Roman" w:hAnsi="Times New Roman" w:cs="Times New Roman"/>
          <w:b w:val="0"/>
          <w:bCs w:val="0"/>
          <w:color w:val="auto"/>
          <w:spacing w:val="0"/>
          <w:sz w:val="32"/>
          <w:szCs w:val="32"/>
          <w:lang w:eastAsia="zh-CN"/>
        </w:rPr>
        <w:t>、</w:t>
      </w:r>
      <w:r>
        <w:rPr>
          <w:rFonts w:hint="default" w:ascii="Times New Roman" w:hAnsi="Times New Roman" w:eastAsia="仿宋_GB2312" w:cs="Times New Roman"/>
          <w:b w:val="0"/>
          <w:bCs w:val="0"/>
          <w:color w:val="auto"/>
          <w:spacing w:val="0"/>
          <w:sz w:val="32"/>
          <w:szCs w:val="32"/>
          <w:lang w:eastAsia="zh-CN"/>
        </w:rPr>
        <w:t>村级服务站为触角的三级联动新格局，</w:t>
      </w:r>
      <w:r>
        <w:rPr>
          <w:rFonts w:hint="default" w:ascii="Times New Roman" w:hAnsi="Times New Roman" w:eastAsia="仿宋_GB2312" w:cs="Times New Roman"/>
          <w:b w:val="0"/>
          <w:bCs w:val="0"/>
          <w:color w:val="auto"/>
          <w:spacing w:val="0"/>
          <w:sz w:val="32"/>
          <w:szCs w:val="32"/>
        </w:rPr>
        <w:t>明确全区11个镇级便民服务中心、170个村级便民服务站“统一规划、统一建设、统一运行”的建设标准，整合各级各类服务网点资源，下沉高频便民服务事项，</w:t>
      </w:r>
      <w:r>
        <w:rPr>
          <w:rFonts w:hint="default" w:ascii="Times New Roman" w:hAnsi="Times New Roman" w:eastAsia="仿宋_GB2312" w:cs="Times New Roman"/>
          <w:b w:val="0"/>
          <w:bCs w:val="0"/>
          <w:color w:val="auto"/>
          <w:spacing w:val="0"/>
          <w:kern w:val="0"/>
          <w:sz w:val="32"/>
          <w:szCs w:val="32"/>
          <w:highlight w:val="none"/>
          <w:lang w:val="en-US" w:eastAsia="zh-CN" w:bidi="ar-SA"/>
        </w:rPr>
        <w:t>开展“1530”政务服务圈优化提升，争取</w:t>
      </w:r>
      <w:r>
        <w:rPr>
          <w:rFonts w:hint="default" w:ascii="Times New Roman" w:hAnsi="Times New Roman" w:cs="Times New Roman"/>
          <w:b w:val="0"/>
          <w:bCs w:val="0"/>
          <w:color w:val="auto"/>
          <w:spacing w:val="0"/>
          <w:kern w:val="0"/>
          <w:sz w:val="32"/>
          <w:szCs w:val="32"/>
          <w:highlight w:val="none"/>
          <w:lang w:val="en-US" w:eastAsia="zh-CN" w:bidi="ar-SA"/>
        </w:rPr>
        <w:t>省级</w:t>
      </w:r>
      <w:r>
        <w:rPr>
          <w:rFonts w:hint="default" w:ascii="Times New Roman" w:hAnsi="Times New Roman" w:eastAsia="仿宋_GB2312" w:cs="Times New Roman"/>
          <w:b w:val="0"/>
          <w:bCs w:val="0"/>
          <w:color w:val="auto"/>
          <w:spacing w:val="0"/>
          <w:kern w:val="0"/>
          <w:sz w:val="32"/>
          <w:szCs w:val="32"/>
          <w:highlight w:val="none"/>
          <w:lang w:val="en-US" w:eastAsia="zh-CN" w:bidi="ar-SA"/>
        </w:rPr>
        <w:t>试点。</w:t>
      </w:r>
      <w:r>
        <w:rPr>
          <w:rFonts w:hint="default" w:ascii="Times New Roman" w:hAnsi="Times New Roman" w:cs="Times New Roman"/>
          <w:b w:val="0"/>
          <w:bCs w:val="0"/>
          <w:color w:val="auto"/>
          <w:spacing w:val="0"/>
          <w:kern w:val="0"/>
          <w:sz w:val="32"/>
          <w:szCs w:val="32"/>
          <w:highlight w:val="none"/>
          <w:lang w:val="en-US" w:eastAsia="zh-CN" w:bidi="ar-SA"/>
        </w:rPr>
        <w:t xml:space="preserve"> </w:t>
      </w:r>
    </w:p>
    <w:p w14:paraId="5043FFF6">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rPr>
      </w:pPr>
      <w:r>
        <w:rPr>
          <w:rStyle w:val="11"/>
          <w:rFonts w:hint="default" w:ascii="Times New Roman" w:hAnsi="Times New Roman" w:eastAsia="楷体_GB2312" w:cs="Times New Roman"/>
          <w:b/>
          <w:bCs/>
          <w:color w:val="auto"/>
          <w:spacing w:val="0"/>
          <w:lang w:eastAsia="zh-CN"/>
        </w:rPr>
        <w:t>（二）深化“高效办成一件事”全链条改革。</w:t>
      </w:r>
      <w:r>
        <w:rPr>
          <w:rFonts w:hint="default" w:ascii="Times New Roman" w:hAnsi="Times New Roman" w:eastAsia="仿宋_GB2312" w:cs="Times New Roman"/>
          <w:b w:val="0"/>
          <w:bCs w:val="0"/>
          <w:color w:val="auto"/>
          <w:spacing w:val="0"/>
          <w:sz w:val="32"/>
          <w:szCs w:val="32"/>
        </w:rPr>
        <w:t>聚焦企业全生命周期核心环节，迭代打造准入准营、招聘用工、缴费纳税、工程建设、经营发展、注销退出等“一件事”升级版，持续提升跨部门联办质效，</w:t>
      </w:r>
      <w:r>
        <w:rPr>
          <w:rFonts w:hint="default" w:ascii="Times New Roman" w:hAnsi="Times New Roman" w:eastAsia="仿宋_GB2312" w:cs="Times New Roman"/>
          <w:b w:val="0"/>
          <w:bCs w:val="0"/>
          <w:color w:val="auto"/>
          <w:spacing w:val="0"/>
          <w:kern w:val="0"/>
          <w:sz w:val="32"/>
          <w:szCs w:val="32"/>
          <w:highlight w:val="none"/>
          <w:lang w:val="en-US" w:eastAsia="zh-CN" w:bidi="ar-SA"/>
        </w:rPr>
        <w:t>打造“迁入无忧·悦在市中”企业跨省迁入服务品牌，</w:t>
      </w:r>
      <w:r>
        <w:rPr>
          <w:rFonts w:hint="default" w:ascii="Times New Roman" w:hAnsi="Times New Roman" w:eastAsia="仿宋_GB2312" w:cs="Times New Roman"/>
          <w:b w:val="0"/>
          <w:bCs w:val="0"/>
          <w:color w:val="auto"/>
          <w:spacing w:val="0"/>
          <w:sz w:val="32"/>
          <w:szCs w:val="32"/>
        </w:rPr>
        <w:t>推动重点领域改革向更深层次突破。紧扣“4</w:t>
      </w:r>
      <w:r>
        <w:rPr>
          <w:rFonts w:hint="default" w:ascii="Times New Roman" w:hAnsi="Times New Roman" w:eastAsia="仿宋_GB2312" w:cs="Times New Roman"/>
          <w:b w:val="0"/>
          <w:bCs w:val="0"/>
          <w:color w:val="auto"/>
          <w:spacing w:val="0"/>
          <w:sz w:val="32"/>
          <w:szCs w:val="32"/>
          <w:lang w:val="en-US" w:eastAsia="zh-CN"/>
        </w:rPr>
        <w:t>4</w:t>
      </w:r>
      <w:r>
        <w:rPr>
          <w:rFonts w:hint="default" w:ascii="Times New Roman" w:hAnsi="Times New Roman" w:eastAsia="仿宋_GB2312" w:cs="Times New Roman"/>
          <w:b w:val="0"/>
          <w:bCs w:val="0"/>
          <w:color w:val="auto"/>
          <w:spacing w:val="0"/>
          <w:sz w:val="32"/>
          <w:szCs w:val="32"/>
        </w:rPr>
        <w:t>2”现代化产业体系与</w:t>
      </w:r>
      <w:r>
        <w:rPr>
          <w:rFonts w:hint="default" w:ascii="Times New Roman" w:hAnsi="Times New Roman" w:eastAsia="仿宋_GB2312" w:cs="Times New Roman"/>
          <w:b w:val="0"/>
          <w:bCs w:val="0"/>
          <w:color w:val="auto"/>
          <w:spacing w:val="0"/>
          <w:sz w:val="32"/>
          <w:szCs w:val="32"/>
          <w:lang w:eastAsia="zh-CN"/>
        </w:rPr>
        <w:t>区</w:t>
      </w:r>
      <w:r>
        <w:rPr>
          <w:rFonts w:hint="default" w:ascii="Times New Roman" w:hAnsi="Times New Roman" w:eastAsia="仿宋_GB2312" w:cs="Times New Roman"/>
          <w:b w:val="0"/>
          <w:bCs w:val="0"/>
          <w:color w:val="auto"/>
          <w:spacing w:val="0"/>
          <w:sz w:val="32"/>
          <w:szCs w:val="32"/>
        </w:rPr>
        <w:t>域特色产业，因地制宜推出一批有本地辨识度的特色场景新应用，确保能办率达100％、好办易办率超90％。</w:t>
      </w:r>
    </w:p>
    <w:p w14:paraId="0E717C71">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rPr>
      </w:pPr>
      <w:r>
        <w:rPr>
          <w:rStyle w:val="11"/>
          <w:rFonts w:hint="default" w:ascii="Times New Roman" w:hAnsi="Times New Roman" w:eastAsia="楷体_GB2312" w:cs="Times New Roman"/>
          <w:b/>
          <w:bCs/>
          <w:color w:val="auto"/>
          <w:spacing w:val="0"/>
          <w:lang w:eastAsia="zh-CN"/>
        </w:rPr>
        <w:t>（三）深化“无证明城市”全域建设。</w:t>
      </w:r>
      <w:r>
        <w:rPr>
          <w:rFonts w:hint="default" w:ascii="Times New Roman" w:hAnsi="Times New Roman" w:eastAsia="仿宋_GB2312" w:cs="Times New Roman"/>
          <w:b w:val="0"/>
          <w:bCs w:val="0"/>
          <w:color w:val="auto"/>
          <w:spacing w:val="0"/>
          <w:sz w:val="32"/>
          <w:szCs w:val="32"/>
        </w:rPr>
        <w:t>推动电子证照、数据共享向基层末梢、产业园区、市场主体全场景延伸，涉企审批服务事项证明材料“应免尽免”，实现基层高频证明事项全流程线上办理。全面推广电子营业执照全场景应用，涉企业务中实现电子证照全量调用</w:t>
      </w:r>
      <w:r>
        <w:rPr>
          <w:rFonts w:hint="default" w:ascii="Times New Roman" w:hAnsi="Times New Roman" w:cs="Times New Roman"/>
          <w:b w:val="0"/>
          <w:bCs w:val="0"/>
          <w:color w:val="auto"/>
          <w:spacing w:val="0"/>
          <w:sz w:val="32"/>
          <w:szCs w:val="32"/>
          <w:lang w:eastAsia="zh-CN"/>
        </w:rPr>
        <w:t>。</w:t>
      </w:r>
    </w:p>
    <w:p w14:paraId="0E21D364">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（四）推进政务服务智能化升级。</w:t>
      </w:r>
      <w:r>
        <w:rPr>
          <w:rFonts w:hint="default" w:ascii="Times New Roman" w:hAnsi="Times New Roman" w:eastAsia="仿宋_GB2312" w:cs="Times New Roman"/>
          <w:b w:val="0"/>
          <w:bCs w:val="0"/>
          <w:color w:val="auto"/>
          <w:spacing w:val="0"/>
          <w:sz w:val="32"/>
          <w:szCs w:val="32"/>
        </w:rPr>
        <w:t>深化“人工智能＋政务服务”融合应用，优化“无人工审批”模式，在高频领域拓展智能审批覆盖范围，实现申请、受理、审核、办结全流程自动化办理。开展政务服务“六维问效”综合评估，形成“评估诊断—反馈整改—跟踪问效”闭环工作机制。</w:t>
      </w:r>
    </w:p>
    <w:p w14:paraId="26561AF5">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（五）深化投资项目审批制度改革。</w:t>
      </w:r>
      <w:r>
        <w:rPr>
          <w:rFonts w:hint="default" w:ascii="Times New Roman" w:hAnsi="Times New Roman" w:eastAsia="仿宋_GB2312" w:cs="Times New Roman"/>
          <w:b w:val="0"/>
          <w:bCs w:val="0"/>
          <w:color w:val="auto"/>
          <w:spacing w:val="0"/>
          <w:sz w:val="32"/>
          <w:szCs w:val="32"/>
        </w:rPr>
        <w:t>深化容缺受理、并联审批、告知承诺制改革，</w:t>
      </w:r>
      <w:r>
        <w:rPr>
          <w:rFonts w:hint="default" w:ascii="Times New Roman" w:hAnsi="Times New Roman" w:eastAsia="仿宋_GB2312" w:cs="Times New Roman"/>
          <w:b w:val="0"/>
          <w:bCs w:val="0"/>
          <w:color w:val="auto"/>
          <w:spacing w:val="0"/>
          <w:sz w:val="32"/>
          <w:szCs w:val="32"/>
          <w:lang w:eastAsia="zh-CN"/>
        </w:rPr>
        <w:t>推行“函证并行”审批服务，组建“项目管家”服务团队，提供前置指导</w:t>
      </w:r>
      <w:r>
        <w:rPr>
          <w:rFonts w:hint="default" w:ascii="Times New Roman" w:hAnsi="Times New Roman" w:cs="Times New Roman"/>
          <w:b w:val="0"/>
          <w:bCs w:val="0"/>
          <w:color w:val="auto"/>
          <w:spacing w:val="0"/>
          <w:sz w:val="32"/>
          <w:szCs w:val="32"/>
          <w:lang w:eastAsia="zh-CN"/>
        </w:rPr>
        <w:t>、</w:t>
      </w:r>
      <w:r>
        <w:rPr>
          <w:rFonts w:hint="default" w:ascii="Times New Roman" w:hAnsi="Times New Roman" w:eastAsia="仿宋_GB2312" w:cs="Times New Roman"/>
          <w:b w:val="0"/>
          <w:bCs w:val="0"/>
          <w:color w:val="auto"/>
          <w:spacing w:val="0"/>
          <w:sz w:val="32"/>
          <w:szCs w:val="32"/>
          <w:lang w:eastAsia="zh-CN"/>
        </w:rPr>
        <w:t>帮办代办、延时服务等服务举措</w:t>
      </w:r>
      <w:r>
        <w:rPr>
          <w:rFonts w:hint="default" w:ascii="Times New Roman" w:hAnsi="Times New Roman" w:cs="Times New Roman"/>
          <w:b w:val="0"/>
          <w:bCs w:val="0"/>
          <w:color w:val="auto"/>
          <w:spacing w:val="0"/>
          <w:sz w:val="32"/>
          <w:szCs w:val="32"/>
          <w:lang w:eastAsia="zh-CN"/>
        </w:rPr>
        <w:t>。</w:t>
      </w:r>
      <w:r>
        <w:rPr>
          <w:rFonts w:hint="default" w:ascii="Times New Roman" w:hAnsi="Times New Roman" w:eastAsia="仿宋_GB2312" w:cs="Times New Roman"/>
          <w:b w:val="0"/>
          <w:bCs w:val="0"/>
          <w:color w:val="auto"/>
          <w:spacing w:val="0"/>
          <w:sz w:val="32"/>
          <w:szCs w:val="32"/>
        </w:rPr>
        <w:t>深化环评与排污许可审批改革，</w:t>
      </w:r>
      <w:r>
        <w:rPr>
          <w:rFonts w:hint="default" w:ascii="Times New Roman" w:hAnsi="Times New Roman" w:eastAsia="仿宋_GB2312" w:cs="Times New Roman"/>
          <w:b w:val="0"/>
          <w:bCs w:val="0"/>
          <w:color w:val="auto"/>
          <w:spacing w:val="0"/>
          <w:sz w:val="32"/>
          <w:szCs w:val="32"/>
          <w:lang w:eastAsia="zh-CN"/>
        </w:rPr>
        <w:t>对重大项目环评总量指标容缺受理、“打捆”审批</w:t>
      </w:r>
      <w:r>
        <w:rPr>
          <w:rFonts w:hint="default" w:ascii="Times New Roman" w:hAnsi="Times New Roman" w:cs="Times New Roman"/>
          <w:b w:val="0"/>
          <w:bCs w:val="0"/>
          <w:color w:val="auto"/>
          <w:spacing w:val="0"/>
          <w:sz w:val="32"/>
          <w:szCs w:val="32"/>
          <w:lang w:eastAsia="zh-CN"/>
        </w:rPr>
        <w:t>，</w:t>
      </w:r>
      <w:r>
        <w:rPr>
          <w:rFonts w:hint="default" w:ascii="Times New Roman" w:hAnsi="Times New Roman" w:eastAsia="仿宋_GB2312" w:cs="Times New Roman"/>
          <w:b w:val="0"/>
          <w:bCs w:val="0"/>
          <w:color w:val="auto"/>
          <w:spacing w:val="0"/>
          <w:sz w:val="32"/>
          <w:szCs w:val="32"/>
          <w:lang w:eastAsia="zh-CN"/>
        </w:rPr>
        <w:t>深入挖潜污染物总量</w:t>
      </w:r>
      <w:r>
        <w:rPr>
          <w:rFonts w:hint="default" w:ascii="Times New Roman" w:hAnsi="Times New Roman" w:cs="Times New Roman"/>
          <w:b w:val="0"/>
          <w:bCs w:val="0"/>
          <w:color w:val="auto"/>
          <w:spacing w:val="0"/>
          <w:sz w:val="32"/>
          <w:szCs w:val="32"/>
          <w:lang w:eastAsia="zh-CN"/>
        </w:rPr>
        <w:t>，</w:t>
      </w:r>
      <w:r>
        <w:rPr>
          <w:rFonts w:hint="default" w:ascii="Times New Roman" w:hAnsi="Times New Roman" w:eastAsia="仿宋_GB2312" w:cs="Times New Roman"/>
          <w:b w:val="0"/>
          <w:bCs w:val="0"/>
          <w:color w:val="auto"/>
          <w:spacing w:val="0"/>
          <w:sz w:val="32"/>
          <w:szCs w:val="32"/>
          <w:lang w:eastAsia="zh-CN"/>
        </w:rPr>
        <w:t>保障重大项目污染物总量需求</w:t>
      </w:r>
      <w:r>
        <w:rPr>
          <w:rFonts w:hint="default" w:ascii="Times New Roman" w:hAnsi="Times New Roman" w:cs="Times New Roman"/>
          <w:b w:val="0"/>
          <w:bCs w:val="0"/>
          <w:color w:val="auto"/>
          <w:spacing w:val="0"/>
          <w:sz w:val="32"/>
          <w:szCs w:val="32"/>
          <w:lang w:eastAsia="zh-CN"/>
        </w:rPr>
        <w:t>，</w:t>
      </w:r>
      <w:r>
        <w:rPr>
          <w:rFonts w:hint="default" w:ascii="Times New Roman" w:hAnsi="Times New Roman" w:eastAsia="仿宋_GB2312" w:cs="Times New Roman"/>
          <w:b w:val="0"/>
          <w:bCs w:val="0"/>
          <w:color w:val="auto"/>
          <w:spacing w:val="0"/>
          <w:sz w:val="32"/>
          <w:szCs w:val="32"/>
          <w:lang w:eastAsia="zh-CN"/>
        </w:rPr>
        <w:t>创新智能审核和人工审核相结合的智能化审批模式。</w:t>
      </w:r>
    </w:p>
    <w:p w14:paraId="49094606">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cs="Times New Roman"/>
          <w:b w:val="0"/>
          <w:bCs w:val="0"/>
          <w:color w:val="auto"/>
          <w:spacing w:val="0"/>
          <w:sz w:val="32"/>
          <w:szCs w:val="32"/>
          <w:highlight w:val="red"/>
          <w:lang w:eastAsia="zh-CN"/>
        </w:rPr>
      </w:pPr>
      <w:r>
        <w:rPr>
          <w:rStyle w:val="11"/>
          <w:rFonts w:hint="default" w:ascii="Times New Roman" w:hAnsi="Times New Roman" w:eastAsia="楷体_GB2312" w:cs="Times New Roman"/>
          <w:b/>
          <w:bCs/>
          <w:color w:val="auto"/>
          <w:spacing w:val="0"/>
          <w:lang w:eastAsia="zh-CN"/>
        </w:rPr>
        <w:t>（六）推进工程项目全流程数字化管理。</w:t>
      </w:r>
      <w:r>
        <w:rPr>
          <w:rFonts w:hint="default" w:ascii="Times New Roman" w:hAnsi="Times New Roman" w:eastAsia="仿宋_GB2312" w:cs="Times New Roman"/>
          <w:b w:val="0"/>
          <w:bCs w:val="0"/>
          <w:color w:val="auto"/>
          <w:spacing w:val="0"/>
          <w:sz w:val="32"/>
          <w:szCs w:val="32"/>
        </w:rPr>
        <w:t>深化工程建设领域电子证照互认应用，推行建筑单体“数字身份证”赋码管理，实现项目设计、施工、验收、归档全流程“一套图”闭环管理。推行联合验收“一件事”、竣工验收“一张清单”改革，全面提升项目审批效能。</w:t>
      </w:r>
    </w:p>
    <w:p w14:paraId="5F282598">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rPr>
      </w:pPr>
      <w:r>
        <w:rPr>
          <w:rStyle w:val="11"/>
          <w:rFonts w:hint="default" w:ascii="Times New Roman" w:hAnsi="Times New Roman" w:eastAsia="楷体_GB2312" w:cs="Times New Roman"/>
          <w:b/>
          <w:bCs/>
          <w:color w:val="auto"/>
          <w:spacing w:val="0"/>
          <w:lang w:eastAsia="zh-CN"/>
        </w:rPr>
        <w:t>（七）拓展政务服务跨域通办广度深度。</w:t>
      </w:r>
      <w:r>
        <w:rPr>
          <w:rFonts w:hint="default" w:ascii="Times New Roman" w:hAnsi="Times New Roman" w:eastAsia="仿宋_GB2312" w:cs="Times New Roman"/>
          <w:b w:val="0"/>
          <w:bCs w:val="0"/>
          <w:color w:val="auto"/>
          <w:spacing w:val="0"/>
          <w:sz w:val="32"/>
          <w:szCs w:val="32"/>
        </w:rPr>
        <w:t>深化与苏皖鲁豫省际交界地区、淮河生态经济带、鲁南经济圈城市政务服务合作，通过“全程网办”“异地代收代办”“多地联办”等方式，持续提升“跨域通办”事项服务质效。</w:t>
      </w:r>
    </w:p>
    <w:p w14:paraId="05028938">
      <w:pPr>
        <w:pStyle w:val="3"/>
        <w:keepNext w:val="0"/>
        <w:keepLines w:val="0"/>
        <w:pageBreakBefore w:val="0"/>
        <w:widowControl w:val="0"/>
        <w:numPr>
          <w:ilvl w:val="0"/>
          <w:numId w:val="0"/>
        </w:numPr>
        <w:kinsoku/>
        <w:wordWrap/>
        <w:overflowPunct/>
        <w:topLinePunct w:val="0"/>
        <w:autoSpaceDE/>
        <w:autoSpaceDN/>
        <w:bidi w:val="0"/>
        <w:adjustRightInd/>
        <w:snapToGrid/>
        <w:spacing w:beforeLines="0" w:afterLines="0" w:line="560" w:lineRule="exact"/>
        <w:ind w:left="0" w:leftChars="0" w:firstLine="640" w:firstLineChars="200"/>
        <w:jc w:val="both"/>
        <w:textAlignment w:val="auto"/>
        <w:rPr>
          <w:rFonts w:hint="default" w:ascii="Times New Roman" w:hAnsi="Times New Roman" w:eastAsia="黑体" w:cs="Times New Roman"/>
          <w:b w:val="0"/>
          <w:bCs w:val="0"/>
          <w:color w:val="auto"/>
          <w:spacing w:val="0"/>
          <w:lang w:eastAsia="zh-CN"/>
        </w:rPr>
      </w:pPr>
      <w:r>
        <w:rPr>
          <w:rFonts w:hint="default" w:ascii="Times New Roman" w:hAnsi="Times New Roman" w:cs="Times New Roman"/>
          <w:b w:val="0"/>
          <w:bCs w:val="0"/>
          <w:color w:val="auto"/>
          <w:spacing w:val="0"/>
          <w:lang w:eastAsia="zh-CN"/>
        </w:rPr>
        <w:t>二、</w:t>
      </w:r>
      <w:r>
        <w:rPr>
          <w:rFonts w:hint="default" w:ascii="Times New Roman" w:hAnsi="Times New Roman" w:cs="Times New Roman"/>
          <w:b w:val="0"/>
          <w:bCs w:val="0"/>
          <w:color w:val="auto"/>
          <w:spacing w:val="0"/>
        </w:rPr>
        <w:t>规范市场运行秩序，保障公平竞争环境</w:t>
      </w:r>
    </w:p>
    <w:p w14:paraId="7E3CAA41">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（八）全面落实市场准入负面清单制度。</w:t>
      </w:r>
      <w:r>
        <w:rPr>
          <w:rFonts w:hint="default" w:ascii="Times New Roman" w:hAnsi="Times New Roman" w:eastAsia="仿宋_GB2312" w:cs="Times New Roman"/>
          <w:b w:val="0"/>
          <w:bCs w:val="0"/>
          <w:color w:val="auto"/>
          <w:spacing w:val="0"/>
          <w:sz w:val="32"/>
          <w:szCs w:val="32"/>
        </w:rPr>
        <w:t>严格执行“全国一张清单”管理模式，开展隐性壁垒专项整治，全面落实“非禁即入”，主动融入</w:t>
      </w:r>
      <w:r>
        <w:rPr>
          <w:rFonts w:hint="default" w:ascii="Times New Roman" w:hAnsi="Times New Roman" w:cs="Times New Roman"/>
          <w:b w:val="0"/>
          <w:bCs w:val="0"/>
          <w:color w:val="auto"/>
          <w:spacing w:val="0"/>
          <w:sz w:val="32"/>
          <w:szCs w:val="32"/>
          <w:lang w:val="en-US" w:eastAsia="zh-CN"/>
        </w:rPr>
        <w:t>和服务</w:t>
      </w:r>
      <w:r>
        <w:rPr>
          <w:rFonts w:hint="default" w:ascii="Times New Roman" w:hAnsi="Times New Roman" w:eastAsia="仿宋_GB2312" w:cs="Times New Roman"/>
          <w:b w:val="0"/>
          <w:bCs w:val="0"/>
          <w:color w:val="auto"/>
          <w:spacing w:val="0"/>
          <w:sz w:val="32"/>
          <w:szCs w:val="32"/>
        </w:rPr>
        <w:t>全国统一大市场建设</w:t>
      </w:r>
      <w:r>
        <w:rPr>
          <w:rFonts w:hint="default" w:ascii="Times New Roman" w:hAnsi="Times New Roman" w:cs="Times New Roman"/>
          <w:b w:val="0"/>
          <w:bCs w:val="0"/>
          <w:color w:val="auto"/>
          <w:spacing w:val="0"/>
          <w:sz w:val="32"/>
          <w:szCs w:val="32"/>
          <w:lang w:eastAsia="zh-CN"/>
        </w:rPr>
        <w:t>，</w:t>
      </w:r>
      <w:r>
        <w:rPr>
          <w:rFonts w:hint="default" w:ascii="Times New Roman" w:hAnsi="Times New Roman" w:cs="Times New Roman"/>
          <w:b w:val="0"/>
          <w:bCs w:val="0"/>
          <w:color w:val="auto"/>
          <w:spacing w:val="0"/>
          <w:sz w:val="32"/>
          <w:szCs w:val="32"/>
          <w:lang w:val="en-US" w:eastAsia="zh-CN"/>
        </w:rPr>
        <w:t>全力</w:t>
      </w:r>
      <w:r>
        <w:rPr>
          <w:rFonts w:hint="default" w:ascii="Times New Roman" w:hAnsi="Times New Roman" w:cs="Times New Roman"/>
          <w:b w:val="0"/>
          <w:bCs w:val="0"/>
          <w:color w:val="auto"/>
          <w:spacing w:val="0"/>
          <w:sz w:val="32"/>
          <w:szCs w:val="32"/>
          <w:lang w:eastAsia="zh-CN"/>
        </w:rPr>
        <w:t>维护市场的统一性、公平性、开放性。</w:t>
      </w:r>
    </w:p>
    <w:p w14:paraId="0233CA3B">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kern w:val="0"/>
          <w:sz w:val="32"/>
          <w:szCs w:val="32"/>
          <w:lang w:eastAsia="zh-CN"/>
        </w:rPr>
      </w:pPr>
      <w:r>
        <w:rPr>
          <w:rStyle w:val="11"/>
          <w:rFonts w:hint="default" w:ascii="Times New Roman" w:hAnsi="Times New Roman" w:eastAsia="楷体_GB2312" w:cs="Times New Roman"/>
          <w:b/>
          <w:bCs/>
          <w:color w:val="auto"/>
          <w:spacing w:val="0"/>
          <w:lang w:eastAsia="zh-CN"/>
        </w:rPr>
        <w:t>（九）强化公平竞争审查刚性约束。</w:t>
      </w:r>
      <w:r>
        <w:rPr>
          <w:rFonts w:hint="default" w:ascii="Times New Roman" w:hAnsi="Times New Roman" w:eastAsia="仿宋_GB2312" w:cs="Times New Roman"/>
          <w:b w:val="0"/>
          <w:bCs w:val="0"/>
          <w:color w:val="auto"/>
          <w:spacing w:val="0"/>
          <w:sz w:val="32"/>
          <w:szCs w:val="32"/>
        </w:rPr>
        <w:t>严格执行公平竞争审查制度，着力强化招标投标、政府采购等重点领域审查刚性约束，统筹做好涉企存量政策措施清理与增量政策措施审查，促进公平竞争审查在各领域深化拓展。加强对垄断和不正当竞争行为的监管执法，保障各类经营主体公平参与竞争。</w:t>
      </w:r>
    </w:p>
    <w:p w14:paraId="69623140">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Style w:val="11"/>
          <w:rFonts w:hint="default" w:ascii="Times New Roman" w:hAnsi="Times New Roman" w:eastAsia="仿宋_GB2312" w:cs="Times New Roman"/>
          <w:b w:val="0"/>
          <w:bCs w:val="0"/>
          <w:color w:val="auto"/>
          <w:spacing w:val="0"/>
          <w:kern w:val="44"/>
          <w:highlight w:val="yellow"/>
          <w:lang w:eastAsia="zh-CN"/>
        </w:rPr>
      </w:pPr>
      <w:r>
        <w:rPr>
          <w:rStyle w:val="11"/>
          <w:rFonts w:hint="default" w:ascii="Times New Roman" w:hAnsi="Times New Roman" w:eastAsia="楷体_GB2312" w:cs="Times New Roman"/>
          <w:b/>
          <w:bCs/>
          <w:color w:val="auto"/>
          <w:spacing w:val="0"/>
          <w:lang w:eastAsia="zh-CN"/>
        </w:rPr>
        <w:t>（十）健全完善社会信用体系建设。</w:t>
      </w:r>
      <w:r>
        <w:rPr>
          <w:rFonts w:hint="default" w:ascii="Times New Roman" w:hAnsi="Times New Roman" w:eastAsia="仿宋_GB2312" w:cs="Times New Roman"/>
          <w:b w:val="0"/>
          <w:bCs w:val="0"/>
          <w:color w:val="auto"/>
          <w:spacing w:val="0"/>
          <w:sz w:val="32"/>
          <w:szCs w:val="32"/>
        </w:rPr>
        <w:t>创新“信用＋”应用场景，探索建立以经营主体信用为基础的市场准营承诺即入制。落实信用修复分级协同机制，推行个体工商户经营异常名录信用修复“免申即享”，打造“主动告知＋便捷修复＋信用重塑”全流程服务。</w:t>
      </w:r>
    </w:p>
    <w:p w14:paraId="47BF1BB0">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Style w:val="11"/>
          <w:rFonts w:hint="default" w:ascii="Times New Roman" w:hAnsi="Times New Roman" w:eastAsia="仿宋_GB2312" w:cs="Times New Roman"/>
          <w:b w:val="0"/>
          <w:bCs w:val="0"/>
          <w:color w:val="auto"/>
          <w:spacing w:val="0"/>
          <w:kern w:val="44"/>
          <w:highlight w:val="yellow"/>
          <w:lang w:eastAsia="zh-CN"/>
        </w:rPr>
      </w:pPr>
      <w:r>
        <w:rPr>
          <w:rStyle w:val="11"/>
          <w:rFonts w:hint="default" w:ascii="Times New Roman" w:hAnsi="Times New Roman" w:eastAsia="楷体_GB2312" w:cs="Times New Roman"/>
          <w:b/>
          <w:bCs/>
          <w:color w:val="auto"/>
          <w:spacing w:val="0"/>
          <w:lang w:eastAsia="zh-CN"/>
        </w:rPr>
        <w:t>（十一）深化公共资源交易规范化建设。</w:t>
      </w:r>
      <w:r>
        <w:rPr>
          <w:rFonts w:hint="default" w:ascii="Times New Roman" w:hAnsi="Times New Roman" w:eastAsia="仿宋_GB2312" w:cs="Times New Roman"/>
          <w:b w:val="0"/>
          <w:bCs w:val="0"/>
          <w:color w:val="auto"/>
          <w:spacing w:val="0"/>
          <w:sz w:val="32"/>
          <w:szCs w:val="32"/>
        </w:rPr>
        <w:t>全面推行公共资源交易全流程电子化、智能化监管，强化“云智”监管系统运用，推动多点分散评标模式常态化，推进评标专家资源跨省共享、远程异地评标</w:t>
      </w:r>
      <w:r>
        <w:rPr>
          <w:rFonts w:hint="default" w:ascii="Times New Roman" w:hAnsi="Times New Roman" w:cs="Times New Roman"/>
          <w:b w:val="0"/>
          <w:bCs w:val="0"/>
          <w:color w:val="auto"/>
          <w:spacing w:val="0"/>
          <w:sz w:val="32"/>
          <w:szCs w:val="32"/>
          <w:lang w:eastAsia="zh-CN"/>
        </w:rPr>
        <w:t>，</w:t>
      </w:r>
      <w:r>
        <w:rPr>
          <w:rFonts w:hint="default" w:ascii="Times New Roman" w:hAnsi="Times New Roman" w:eastAsia="仿宋_GB2312" w:cs="Times New Roman"/>
          <w:b w:val="0"/>
          <w:bCs w:val="0"/>
          <w:color w:val="auto"/>
          <w:spacing w:val="0"/>
          <w:kern w:val="0"/>
          <w:sz w:val="32"/>
          <w:szCs w:val="32"/>
          <w:highlight w:val="none"/>
          <w:lang w:val="en-US" w:eastAsia="zh-CN" w:bidi="ar-SA"/>
        </w:rPr>
        <w:t>升级交易中心服务举措，建立“多点协同云服务”模式。</w:t>
      </w:r>
      <w:r>
        <w:rPr>
          <w:rFonts w:hint="default" w:ascii="Times New Roman" w:hAnsi="Times New Roman" w:cs="Times New Roman"/>
          <w:b w:val="0"/>
          <w:bCs w:val="0"/>
          <w:color w:val="auto"/>
          <w:spacing w:val="0"/>
          <w:kern w:val="0"/>
          <w:sz w:val="32"/>
          <w:szCs w:val="32"/>
          <w:highlight w:val="none"/>
          <w:lang w:val="en-US" w:eastAsia="zh-CN" w:bidi="ar-SA"/>
        </w:rPr>
        <w:t>深入开展招标投标领域突出问题系统整治，</w:t>
      </w:r>
      <w:r>
        <w:rPr>
          <w:rFonts w:hint="default" w:ascii="Times New Roman" w:hAnsi="Times New Roman" w:eastAsia="仿宋_GB2312" w:cs="Times New Roman"/>
          <w:b w:val="0"/>
          <w:bCs w:val="0"/>
          <w:color w:val="auto"/>
          <w:spacing w:val="0"/>
          <w:sz w:val="32"/>
          <w:szCs w:val="32"/>
        </w:rPr>
        <w:t>压实招标投标行政监督责任，加强行业监管力度，严格落实行纪、行刑衔接机制，形成整治合力。</w:t>
      </w:r>
    </w:p>
    <w:p w14:paraId="7DD2F621">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（十二）完善政府采购惠企政策体系。</w:t>
      </w:r>
      <w:r>
        <w:rPr>
          <w:rFonts w:hint="default" w:ascii="Times New Roman" w:hAnsi="Times New Roman" w:eastAsia="仿宋_GB2312" w:cs="Times New Roman"/>
          <w:b w:val="0"/>
          <w:bCs w:val="0"/>
          <w:color w:val="auto"/>
          <w:spacing w:val="0"/>
          <w:sz w:val="32"/>
          <w:szCs w:val="32"/>
        </w:rPr>
        <w:t>严格落实政府采购支持中小企业发展政策，足额预留中小微企业采购份额，</w:t>
      </w:r>
      <w:r>
        <w:rPr>
          <w:rFonts w:hint="default" w:ascii="Times New Roman" w:hAnsi="Times New Roman" w:eastAsia="仿宋_GB2312" w:cs="Times New Roman"/>
          <w:b w:val="0"/>
          <w:bCs w:val="0"/>
          <w:color w:val="auto"/>
          <w:spacing w:val="0"/>
          <w:kern w:val="0"/>
          <w:sz w:val="32"/>
          <w:szCs w:val="32"/>
          <w:lang w:eastAsia="zh-CN"/>
        </w:rPr>
        <w:t>对小微企业给予价格扣除优惠。大力支持绿色采购，严格执行节能产品、环境标志产品优先采购和强制采购政策，对纳入优先采购范围的节能、环保产品，按规定给予评审优惠。</w:t>
      </w:r>
      <w:r>
        <w:rPr>
          <w:rFonts w:hint="default" w:ascii="Times New Roman" w:hAnsi="Times New Roman" w:eastAsia="仿宋_GB2312" w:cs="Times New Roman"/>
          <w:b w:val="0"/>
          <w:bCs w:val="0"/>
          <w:color w:val="auto"/>
          <w:spacing w:val="0"/>
          <w:sz w:val="32"/>
          <w:szCs w:val="32"/>
        </w:rPr>
        <w:t>全面推行政府采购项目“政采贷”，发挥政府采购合同信用背书价值。</w:t>
      </w:r>
      <w:r>
        <w:rPr>
          <w:rFonts w:hint="default" w:ascii="Times New Roman" w:hAnsi="Times New Roman" w:eastAsia="仿宋_GB2312" w:cs="Times New Roman"/>
          <w:b w:val="0"/>
          <w:bCs w:val="0"/>
          <w:color w:val="auto"/>
          <w:spacing w:val="0"/>
          <w:kern w:val="0"/>
          <w:sz w:val="32"/>
          <w:szCs w:val="32"/>
          <w:lang w:eastAsia="zh-CN"/>
        </w:rPr>
        <w:t>全面推行山东省政府采购电子交易系统，</w:t>
      </w:r>
      <w:r>
        <w:rPr>
          <w:rFonts w:hint="default" w:ascii="Times New Roman" w:hAnsi="Times New Roman" w:eastAsia="仿宋_GB2312" w:cs="Times New Roman"/>
          <w:b w:val="0"/>
          <w:bCs w:val="0"/>
          <w:color w:val="auto"/>
          <w:spacing w:val="0"/>
          <w:sz w:val="32"/>
          <w:szCs w:val="32"/>
        </w:rPr>
        <w:t>深化政府采购全流程电子化改革，构建覆盖交易、履约、监管全链条的智慧监管体系，确保采购活动规范高效、公开透明。</w:t>
      </w:r>
    </w:p>
    <w:p w14:paraId="3A7EA8BC">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Style w:val="11"/>
          <w:rFonts w:hint="default" w:ascii="Times New Roman" w:hAnsi="Times New Roman" w:cs="Times New Roman"/>
          <w:b w:val="0"/>
          <w:bCs w:val="0"/>
          <w:color w:val="auto"/>
          <w:spacing w:val="0"/>
          <w:lang w:val="en-US" w:eastAsia="zh-CN"/>
        </w:rPr>
      </w:pPr>
      <w:r>
        <w:rPr>
          <w:rStyle w:val="11"/>
          <w:rFonts w:hint="default" w:ascii="Times New Roman" w:hAnsi="Times New Roman" w:eastAsia="楷体_GB2312" w:cs="Times New Roman"/>
          <w:b/>
          <w:bCs/>
          <w:color w:val="auto"/>
          <w:spacing w:val="0"/>
          <w:lang w:eastAsia="zh-CN"/>
        </w:rPr>
        <w:t>（十三）持续规范重点领域市场秩序。</w:t>
      </w:r>
      <w:r>
        <w:rPr>
          <w:rFonts w:hint="default" w:ascii="Times New Roman" w:hAnsi="Times New Roman" w:eastAsia="仿宋_GB2312" w:cs="Times New Roman"/>
          <w:b w:val="0"/>
          <w:bCs w:val="0"/>
          <w:color w:val="auto"/>
          <w:spacing w:val="0"/>
          <w:kern w:val="0"/>
          <w:sz w:val="32"/>
          <w:szCs w:val="32"/>
          <w:lang w:eastAsia="zh-CN"/>
        </w:rPr>
        <w:t>严格落实“两高”行业产能置换相关政策，抓实产能规范管控</w:t>
      </w:r>
      <w:r>
        <w:rPr>
          <w:rFonts w:hint="default" w:ascii="Times New Roman" w:hAnsi="Times New Roman" w:cs="Times New Roman"/>
          <w:b w:val="0"/>
          <w:bCs w:val="0"/>
          <w:color w:val="auto"/>
          <w:spacing w:val="0"/>
          <w:kern w:val="0"/>
          <w:sz w:val="32"/>
          <w:szCs w:val="32"/>
          <w:lang w:eastAsia="zh-CN"/>
        </w:rPr>
        <w:t>，</w:t>
      </w:r>
      <w:r>
        <w:rPr>
          <w:rFonts w:hint="default" w:ascii="Times New Roman" w:hAnsi="Times New Roman" w:eastAsia="仿宋_GB2312" w:cs="Times New Roman"/>
          <w:b w:val="0"/>
          <w:bCs w:val="0"/>
          <w:color w:val="auto"/>
          <w:spacing w:val="0"/>
          <w:kern w:val="0"/>
          <w:sz w:val="32"/>
          <w:szCs w:val="32"/>
          <w:lang w:eastAsia="zh-CN"/>
        </w:rPr>
        <w:t>全力加快企业绿色化发展</w:t>
      </w:r>
      <w:r>
        <w:rPr>
          <w:rFonts w:hint="default" w:ascii="Times New Roman" w:hAnsi="Times New Roman" w:cs="Times New Roman"/>
          <w:b w:val="0"/>
          <w:bCs w:val="0"/>
          <w:color w:val="auto"/>
          <w:spacing w:val="0"/>
          <w:kern w:val="0"/>
          <w:sz w:val="32"/>
          <w:szCs w:val="32"/>
          <w:lang w:eastAsia="zh-CN"/>
        </w:rPr>
        <w:t>。</w:t>
      </w:r>
      <w:r>
        <w:rPr>
          <w:rFonts w:hint="default" w:ascii="Times New Roman" w:hAnsi="Times New Roman" w:eastAsia="仿宋_GB2312" w:cs="Times New Roman"/>
          <w:b w:val="0"/>
          <w:bCs w:val="0"/>
          <w:color w:val="auto"/>
          <w:spacing w:val="0"/>
          <w:sz w:val="32"/>
          <w:szCs w:val="32"/>
          <w:highlight w:val="none"/>
        </w:rPr>
        <w:t>整治“内卷式”竞争，开展打击劣质低价专项行动。开展园区楼宇宽带接入市场整治，落实电信资费方案报备公示制度，持续规范涉企收费，严查强制捆绑、不合理加价等各类违规收费行为。</w:t>
      </w:r>
      <w:r>
        <w:rPr>
          <w:rFonts w:hint="default" w:ascii="Times New Roman" w:hAnsi="Times New Roman" w:eastAsia="仿宋_GB2312" w:cs="Times New Roman"/>
          <w:b w:val="0"/>
          <w:bCs w:val="0"/>
          <w:color w:val="auto"/>
          <w:spacing w:val="0"/>
          <w:kern w:val="0"/>
          <w:sz w:val="32"/>
          <w:szCs w:val="32"/>
          <w:highlight w:val="none"/>
          <w:lang w:eastAsia="zh-CN"/>
        </w:rPr>
        <w:t>建立牟利性索赔负面清单，强化对涉电商、教育及中小微市场主体知识产权恶意诉讼的甄别规制</w:t>
      </w:r>
      <w:r>
        <w:rPr>
          <w:rFonts w:hint="default" w:ascii="Times New Roman" w:hAnsi="Times New Roman" w:eastAsia="仿宋_GB2312" w:cs="Times New Roman"/>
          <w:b w:val="0"/>
          <w:bCs w:val="0"/>
          <w:color w:val="auto"/>
          <w:spacing w:val="0"/>
          <w:sz w:val="32"/>
          <w:szCs w:val="32"/>
        </w:rPr>
        <w:t>，开展依法惩治知识产权恶意诉讼专项监督。</w:t>
      </w:r>
    </w:p>
    <w:p w14:paraId="098B033C">
      <w:pPr>
        <w:pStyle w:val="3"/>
        <w:keepNext w:val="0"/>
        <w:keepLines w:val="0"/>
        <w:pageBreakBefore w:val="0"/>
        <w:widowControl w:val="0"/>
        <w:numPr>
          <w:ilvl w:val="0"/>
          <w:numId w:val="0"/>
        </w:numPr>
        <w:kinsoku/>
        <w:wordWrap/>
        <w:overflowPunct/>
        <w:topLinePunct w:val="0"/>
        <w:autoSpaceDE/>
        <w:autoSpaceDN/>
        <w:bidi w:val="0"/>
        <w:adjustRightInd/>
        <w:snapToGrid/>
        <w:spacing w:beforeLines="0" w:afterLines="0" w:line="560" w:lineRule="exact"/>
        <w:ind w:left="0" w:leftChars="0" w:firstLine="640" w:firstLineChars="200"/>
        <w:jc w:val="both"/>
        <w:textAlignment w:val="auto"/>
        <w:rPr>
          <w:rFonts w:hint="default" w:ascii="Times New Roman" w:hAnsi="Times New Roman" w:cs="Times New Roman"/>
          <w:b w:val="0"/>
          <w:bCs w:val="0"/>
          <w:color w:val="auto"/>
          <w:spacing w:val="0"/>
        </w:rPr>
      </w:pPr>
      <w:r>
        <w:rPr>
          <w:rFonts w:hint="default" w:ascii="Times New Roman" w:hAnsi="Times New Roman" w:cs="Times New Roman"/>
          <w:b w:val="0"/>
          <w:bCs w:val="0"/>
          <w:color w:val="auto"/>
          <w:spacing w:val="0"/>
          <w:lang w:eastAsia="zh-CN"/>
        </w:rPr>
        <w:t>三、</w:t>
      </w:r>
      <w:r>
        <w:rPr>
          <w:rFonts w:hint="default" w:ascii="Times New Roman" w:hAnsi="Times New Roman" w:cs="Times New Roman"/>
          <w:b w:val="0"/>
          <w:bCs w:val="0"/>
          <w:color w:val="auto"/>
          <w:spacing w:val="0"/>
        </w:rPr>
        <w:t>健全法治监管机制，打造公正透明法治环境</w:t>
      </w:r>
    </w:p>
    <w:p w14:paraId="6179DBCF">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（十四）完善营商环境制度供给体系。</w:t>
      </w:r>
      <w:r>
        <w:rPr>
          <w:rFonts w:hint="default" w:ascii="Times New Roman" w:hAnsi="Times New Roman" w:eastAsia="仿宋_GB2312" w:cs="Times New Roman"/>
          <w:b w:val="0"/>
          <w:bCs w:val="0"/>
          <w:color w:val="auto"/>
          <w:spacing w:val="0"/>
          <w:kern w:val="0"/>
          <w:sz w:val="32"/>
          <w:szCs w:val="32"/>
          <w:highlight w:val="none"/>
          <w:lang w:val="en-US" w:eastAsia="zh-CN"/>
        </w:rPr>
        <w:t>全面落实《枣庄市优化营商环境条例》</w:t>
      </w:r>
      <w:r>
        <w:rPr>
          <w:rFonts w:hint="default" w:ascii="Times New Roman" w:hAnsi="Times New Roman" w:cs="Times New Roman"/>
          <w:b w:val="0"/>
          <w:bCs w:val="0"/>
          <w:color w:val="auto"/>
          <w:spacing w:val="0"/>
          <w:kern w:val="0"/>
          <w:sz w:val="32"/>
          <w:szCs w:val="32"/>
          <w:highlight w:val="none"/>
          <w:lang w:val="en-US" w:eastAsia="zh-CN" w:bidi="ar-SA"/>
        </w:rPr>
        <w:t>，</w:t>
      </w:r>
      <w:r>
        <w:rPr>
          <w:rFonts w:hint="default" w:ascii="Times New Roman" w:hAnsi="Times New Roman" w:eastAsia="仿宋_GB2312" w:cs="Times New Roman"/>
          <w:b w:val="0"/>
          <w:bCs w:val="0"/>
          <w:color w:val="auto"/>
          <w:spacing w:val="0"/>
          <w:sz w:val="32"/>
          <w:szCs w:val="32"/>
        </w:rPr>
        <w:t>督促各部门结合职责细化配套举措、抓好执行落地</w:t>
      </w:r>
      <w:r>
        <w:rPr>
          <w:rStyle w:val="12"/>
          <w:rFonts w:hint="default" w:ascii="Times New Roman" w:hAnsi="Times New Roman" w:eastAsia="仿宋_GB2312" w:cs="Times New Roman"/>
          <w:b w:val="0"/>
          <w:bCs w:val="0"/>
          <w:color w:val="auto"/>
          <w:spacing w:val="0"/>
          <w:sz w:val="32"/>
          <w:szCs w:val="32"/>
          <w:lang w:val="en-US" w:eastAsia="zh-CN"/>
        </w:rPr>
        <w:t>。</w:t>
      </w:r>
      <w:r>
        <w:rPr>
          <w:rFonts w:hint="default" w:ascii="Times New Roman" w:hAnsi="Times New Roman" w:eastAsia="仿宋_GB2312" w:cs="Times New Roman"/>
          <w:b w:val="0"/>
          <w:bCs w:val="0"/>
          <w:color w:val="auto"/>
          <w:spacing w:val="0"/>
          <w:kern w:val="0"/>
          <w:sz w:val="32"/>
          <w:szCs w:val="32"/>
          <w:highlight w:val="none"/>
          <w:lang w:val="en-US" w:eastAsia="zh-CN" w:bidi="ar-SA"/>
        </w:rPr>
        <w:t>深化《枣庄市企业技术改造促进条例》贯彻落实，开展条例解读与政策宣讲，推动企业应知尽知。</w:t>
      </w:r>
      <w:r>
        <w:rPr>
          <w:rFonts w:hint="default" w:ascii="Times New Roman" w:hAnsi="Times New Roman" w:eastAsia="仿宋_GB2312" w:cs="Times New Roman"/>
          <w:b w:val="0"/>
          <w:bCs w:val="0"/>
          <w:color w:val="auto"/>
          <w:spacing w:val="0"/>
          <w:sz w:val="32"/>
          <w:szCs w:val="32"/>
        </w:rPr>
        <w:t>持续开展涉企不平等对待政策文件清理工作，确保制度供给公平统一。</w:t>
      </w:r>
    </w:p>
    <w:p w14:paraId="7EDAF87C">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Style w:val="11"/>
          <w:rFonts w:hint="default" w:ascii="Times New Roman" w:hAnsi="Times New Roman" w:cs="Times New Roman"/>
          <w:b w:val="0"/>
          <w:bCs w:val="0"/>
          <w:color w:val="auto"/>
          <w:spacing w:val="0"/>
          <w:lang w:val="en-US" w:eastAsia="zh-CN"/>
        </w:rPr>
      </w:pPr>
      <w:r>
        <w:rPr>
          <w:rStyle w:val="11"/>
          <w:rFonts w:hint="default" w:ascii="Times New Roman" w:hAnsi="Times New Roman" w:eastAsia="楷体_GB2312" w:cs="Times New Roman"/>
          <w:b/>
          <w:bCs/>
          <w:color w:val="auto"/>
          <w:spacing w:val="0"/>
          <w:lang w:eastAsia="zh-CN"/>
        </w:rPr>
        <w:t>（十五）全面规范涉企行政执法行为。</w:t>
      </w:r>
      <w:r>
        <w:rPr>
          <w:rFonts w:hint="default" w:ascii="Times New Roman" w:hAnsi="Times New Roman" w:eastAsia="仿宋_GB2312" w:cs="Times New Roman"/>
          <w:b w:val="0"/>
          <w:bCs w:val="0"/>
          <w:color w:val="auto"/>
          <w:spacing w:val="0"/>
          <w:sz w:val="32"/>
          <w:szCs w:val="32"/>
        </w:rPr>
        <w:t>开展“涉企行政执法规范化建设年”行动，深化行政执法“一张网”建设，</w:t>
      </w:r>
      <w:r>
        <w:rPr>
          <w:rFonts w:hint="default" w:ascii="Times New Roman" w:hAnsi="Times New Roman" w:eastAsia="仿宋_GB2312" w:cs="Times New Roman"/>
          <w:b w:val="0"/>
          <w:bCs w:val="0"/>
          <w:color w:val="auto"/>
          <w:spacing w:val="0"/>
          <w:kern w:val="0"/>
          <w:sz w:val="32"/>
          <w:szCs w:val="32"/>
          <w:highlight w:val="none"/>
          <w:lang w:val="en-US" w:eastAsia="zh-CN" w:bidi="ar-SA"/>
        </w:rPr>
        <w:t>推动“鲁执法”数字化监管服务平台全域推广与深度应用</w:t>
      </w:r>
      <w:r>
        <w:rPr>
          <w:rFonts w:hint="default" w:ascii="Times New Roman" w:hAnsi="Times New Roman" w:eastAsia="仿宋_GB2312" w:cs="Times New Roman"/>
          <w:b w:val="0"/>
          <w:bCs w:val="0"/>
          <w:color w:val="auto"/>
          <w:spacing w:val="0"/>
          <w:sz w:val="32"/>
          <w:szCs w:val="32"/>
        </w:rPr>
        <w:t>。深化“综合查一次”改革与“扫码入企”制度全域覆盖，实行分级分类监管，建立“无事不扰”检查清单，坚决杜绝随意检查、多头检查、重复检查。全面推行涉企执法《行政处罚决定书》《行政合规建议书》《信用修复告知书》“三书同达”制度，实现执法、普法、信用修复一体化推进。持续整治乱收费、乱罚款、乱查封及违规异地执法、趋利性执法等行为，推动涉企执法规范化建设常态化长效化。</w:t>
      </w:r>
    </w:p>
    <w:p w14:paraId="2B4DFEB6">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color w:val="auto"/>
          <w:spacing w:val="0"/>
          <w:kern w:val="0"/>
          <w:sz w:val="32"/>
          <w:szCs w:val="32"/>
          <w:highlight w:val="none"/>
          <w:lang w:val="en-US" w:eastAsia="zh-CN" w:bidi="ar-SA"/>
        </w:rPr>
      </w:pPr>
      <w:r>
        <w:rPr>
          <w:rStyle w:val="11"/>
          <w:rFonts w:hint="default" w:ascii="Times New Roman" w:hAnsi="Times New Roman" w:eastAsia="楷体_GB2312" w:cs="Times New Roman"/>
          <w:b/>
          <w:bCs/>
          <w:color w:val="auto"/>
          <w:spacing w:val="0"/>
          <w:lang w:eastAsia="zh-CN"/>
        </w:rPr>
        <w:t>（十六）推行包容审慎监管执法模式。</w:t>
      </w:r>
      <w:r>
        <w:rPr>
          <w:rFonts w:hint="default" w:ascii="Times New Roman" w:hAnsi="Times New Roman" w:eastAsia="仿宋_GB2312" w:cs="Times New Roman"/>
          <w:b w:val="0"/>
          <w:bCs w:val="0"/>
          <w:color w:val="auto"/>
          <w:spacing w:val="0"/>
          <w:sz w:val="32"/>
          <w:szCs w:val="32"/>
        </w:rPr>
        <w:t>持续优化执法方式，严格落实涉企轻微违法行为“首违不罚、轻违免罚”清单制度。</w:t>
      </w:r>
      <w:r>
        <w:rPr>
          <w:rFonts w:hint="default" w:ascii="Times New Roman" w:hAnsi="Times New Roman" w:eastAsia="仿宋_GB2312" w:cs="Times New Roman"/>
          <w:b w:val="0"/>
          <w:bCs w:val="0"/>
          <w:color w:val="auto"/>
          <w:spacing w:val="0"/>
          <w:kern w:val="0"/>
          <w:sz w:val="32"/>
          <w:szCs w:val="32"/>
          <w:highlight w:val="none"/>
          <w:lang w:val="en-US" w:eastAsia="zh-CN" w:bidi="ar-SA"/>
        </w:rPr>
        <w:t>积极探索覆盖科技企业全生命周期的金融服务，精准匹配适合企业需求的差异化、阶段化科技金融产品，力争市级区域化“沙盒监管”试点落户市中。在工贸、危险化学品、非煤矿山等</w:t>
      </w:r>
      <w:r>
        <w:rPr>
          <w:rFonts w:hint="default" w:ascii="Times New Roman" w:hAnsi="Times New Roman" w:cs="Times New Roman"/>
          <w:b w:val="0"/>
          <w:bCs w:val="0"/>
          <w:color w:val="auto"/>
          <w:spacing w:val="0"/>
          <w:kern w:val="0"/>
          <w:sz w:val="32"/>
          <w:szCs w:val="32"/>
          <w:highlight w:val="none"/>
          <w:lang w:val="en-US" w:eastAsia="zh-CN" w:bidi="ar-SA"/>
        </w:rPr>
        <w:t>重点</w:t>
      </w:r>
      <w:r>
        <w:rPr>
          <w:rFonts w:hint="default" w:ascii="Times New Roman" w:hAnsi="Times New Roman" w:eastAsia="仿宋_GB2312" w:cs="Times New Roman"/>
          <w:b w:val="0"/>
          <w:bCs w:val="0"/>
          <w:color w:val="auto"/>
          <w:spacing w:val="0"/>
          <w:kern w:val="0"/>
          <w:sz w:val="32"/>
          <w:szCs w:val="32"/>
          <w:highlight w:val="none"/>
          <w:lang w:val="en-US" w:eastAsia="zh-CN" w:bidi="ar-SA"/>
        </w:rPr>
        <w:t>领域推行说理式执法，推行“邀约式帮扶指导”，帮助企业防范合规风险。</w:t>
      </w:r>
    </w:p>
    <w:p w14:paraId="1394FDA3">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FF0000"/>
          <w:spacing w:val="0"/>
          <w:sz w:val="32"/>
          <w:szCs w:val="32"/>
          <w:highlight w:val="none"/>
          <w:lang w:eastAsia="zh-CN"/>
        </w:rPr>
      </w:pPr>
      <w:r>
        <w:rPr>
          <w:rStyle w:val="11"/>
          <w:rFonts w:hint="default" w:ascii="Times New Roman" w:hAnsi="Times New Roman" w:eastAsia="楷体_GB2312" w:cs="Times New Roman"/>
          <w:b/>
          <w:bCs/>
          <w:color w:val="auto"/>
          <w:spacing w:val="0"/>
          <w:lang w:eastAsia="zh-CN"/>
        </w:rPr>
        <w:t>（十七）强化知识产权全链条保护。</w:t>
      </w:r>
      <w:r>
        <w:rPr>
          <w:rFonts w:hint="default" w:ascii="Times New Roman" w:hAnsi="Times New Roman" w:eastAsia="仿宋_GB2312" w:cs="Times New Roman"/>
          <w:b w:val="0"/>
          <w:bCs w:val="0"/>
          <w:color w:val="auto"/>
          <w:spacing w:val="0"/>
          <w:kern w:val="0"/>
          <w:sz w:val="32"/>
          <w:szCs w:val="32"/>
          <w:highlight w:val="none"/>
          <w:lang w:val="en-US" w:eastAsia="zh-CN" w:bidi="ar-SA"/>
        </w:rPr>
        <w:t>深化重点产业知识产权司法保护，完善刑事、民事、行政案件“三合一”归口审理机制，</w:t>
      </w:r>
      <w:r>
        <w:rPr>
          <w:rFonts w:hint="default" w:ascii="Times New Roman" w:hAnsi="Times New Roman" w:eastAsia="仿宋_GB2312" w:cs="Times New Roman"/>
          <w:b w:val="0"/>
          <w:bCs w:val="0"/>
          <w:color w:val="auto"/>
          <w:spacing w:val="0"/>
          <w:sz w:val="32"/>
          <w:szCs w:val="32"/>
        </w:rPr>
        <w:t>建立知识产权纠纷快速处理机制，</w:t>
      </w:r>
      <w:r>
        <w:rPr>
          <w:rFonts w:hint="default" w:ascii="Times New Roman" w:hAnsi="Times New Roman" w:eastAsia="仿宋_GB2312" w:cs="Times New Roman"/>
          <w:b w:val="0"/>
          <w:bCs w:val="0"/>
          <w:color w:val="auto"/>
          <w:spacing w:val="0"/>
          <w:kern w:val="0"/>
          <w:sz w:val="32"/>
          <w:szCs w:val="32"/>
          <w:highlight w:val="none"/>
          <w:lang w:val="en-US" w:eastAsia="zh-CN" w:bidi="ar-SA"/>
        </w:rPr>
        <w:t>推行“示范判决+集中调解”模式，</w:t>
      </w:r>
      <w:r>
        <w:rPr>
          <w:rFonts w:hint="default" w:ascii="Times New Roman" w:hAnsi="Times New Roman" w:eastAsia="仿宋_GB2312" w:cs="Times New Roman"/>
          <w:b w:val="0"/>
          <w:bCs w:val="0"/>
          <w:color w:val="auto"/>
          <w:spacing w:val="0"/>
          <w:sz w:val="32"/>
          <w:szCs w:val="32"/>
        </w:rPr>
        <w:t>依法严厉打击知识产权侵权行为，激发企业创新活力。</w:t>
      </w:r>
      <w:r>
        <w:rPr>
          <w:rFonts w:hint="default" w:ascii="Times New Roman" w:hAnsi="Times New Roman" w:eastAsia="仿宋_GB2312" w:cs="Times New Roman"/>
          <w:b w:val="0"/>
          <w:bCs w:val="0"/>
          <w:color w:val="auto"/>
          <w:spacing w:val="0"/>
          <w:kern w:val="0"/>
          <w:sz w:val="32"/>
          <w:szCs w:val="32"/>
          <w:highlight w:val="none"/>
          <w:lang w:val="en-US" w:eastAsia="zh-CN" w:bidi="ar-SA"/>
        </w:rPr>
        <w:t>鼓励企业积极申报“枣庄优品”品牌</w:t>
      </w:r>
      <w:r>
        <w:rPr>
          <w:rFonts w:hint="default" w:ascii="Times New Roman" w:hAnsi="Times New Roman" w:eastAsia="仿宋_GB2312" w:cs="Times New Roman"/>
          <w:b w:val="0"/>
          <w:bCs w:val="0"/>
          <w:color w:val="auto"/>
          <w:spacing w:val="0"/>
          <w:sz w:val="32"/>
          <w:szCs w:val="32"/>
        </w:rPr>
        <w:t>，助力“枣庄优品”质量品牌建设。</w:t>
      </w:r>
    </w:p>
    <w:p w14:paraId="0FD60FDF">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（十八）完善涉企矛盾纠纷多元化解机制。</w:t>
      </w:r>
      <w:r>
        <w:rPr>
          <w:rFonts w:hint="default" w:ascii="Times New Roman" w:hAnsi="Times New Roman" w:eastAsia="仿宋_GB2312" w:cs="Times New Roman"/>
          <w:b w:val="0"/>
          <w:bCs w:val="0"/>
          <w:color w:val="auto"/>
          <w:spacing w:val="0"/>
          <w:kern w:val="0"/>
          <w:sz w:val="32"/>
          <w:szCs w:val="32"/>
          <w:highlight w:val="none"/>
          <w:lang w:val="en-US" w:eastAsia="zh-CN" w:bidi="ar-SA"/>
        </w:rPr>
        <w:t>深入开展政法机关优化法治化营商环境行动</w:t>
      </w:r>
      <w:r>
        <w:rPr>
          <w:rFonts w:hint="default" w:ascii="Times New Roman" w:hAnsi="Times New Roman" w:cs="Times New Roman"/>
          <w:b w:val="0"/>
          <w:bCs w:val="0"/>
          <w:color w:val="auto"/>
          <w:spacing w:val="0"/>
          <w:kern w:val="0"/>
          <w:sz w:val="32"/>
          <w:szCs w:val="32"/>
          <w:highlight w:val="none"/>
          <w:lang w:val="en-US" w:eastAsia="zh-CN" w:bidi="ar-SA"/>
        </w:rPr>
        <w:t>。</w:t>
      </w:r>
      <w:r>
        <w:rPr>
          <w:rFonts w:hint="default" w:ascii="Times New Roman" w:hAnsi="Times New Roman" w:eastAsia="仿宋_GB2312" w:cs="Times New Roman"/>
          <w:b w:val="0"/>
          <w:bCs w:val="0"/>
          <w:color w:val="auto"/>
          <w:spacing w:val="0"/>
          <w:kern w:val="0"/>
          <w:sz w:val="32"/>
          <w:szCs w:val="32"/>
          <w:highlight w:val="none"/>
          <w:lang w:val="en-US" w:eastAsia="zh-CN" w:bidi="ar-SA"/>
        </w:rPr>
        <w:t>聚焦重点领域、重点人员、重点场所、重点物品，深入推进矛盾纠纷源头化解、多元化解、有序化解，提升涉企及重点领域纠纷化解质效。推进综治中心规范化建设，建强三级综治中心，着力打造“市中和好”品牌建设。</w:t>
      </w:r>
      <w:r>
        <w:rPr>
          <w:rFonts w:hint="default" w:ascii="Times New Roman" w:hAnsi="Times New Roman" w:eastAsia="仿宋_GB2312" w:cs="Times New Roman"/>
          <w:b w:val="0"/>
          <w:bCs w:val="0"/>
          <w:color w:val="auto"/>
          <w:spacing w:val="0"/>
          <w:sz w:val="32"/>
          <w:szCs w:val="32"/>
        </w:rPr>
        <w:t>深化涉企案件“简案快审”，开通涉企行政复议案件“绿色通道”，提升涉企执行质效。深化府院、府检联动机制，持续深化“产业链＋法律服务”专项行动，</w:t>
      </w:r>
      <w:r>
        <w:rPr>
          <w:rFonts w:hint="default" w:ascii="Times New Roman" w:hAnsi="Times New Roman" w:eastAsia="仿宋_GB2312" w:cs="Times New Roman"/>
          <w:b w:val="0"/>
          <w:bCs w:val="0"/>
          <w:color w:val="auto"/>
          <w:spacing w:val="0"/>
          <w:kern w:val="0"/>
          <w:sz w:val="32"/>
          <w:szCs w:val="32"/>
          <w:highlight w:val="none"/>
          <w:lang w:val="en-US" w:eastAsia="zh-CN" w:bidi="ar-SA"/>
        </w:rPr>
        <w:t>立足辖区特色产业链条，精准对接产业司法需求，提供靶向法治保障。落实“律护企航”专项法律服务活动，创新开展“流动超市”进企业活动。</w:t>
      </w:r>
      <w:r>
        <w:rPr>
          <w:rFonts w:hint="default" w:ascii="Times New Roman" w:hAnsi="Times New Roman" w:eastAsia="仿宋_GB2312" w:cs="Times New Roman"/>
          <w:b w:val="0"/>
          <w:bCs w:val="0"/>
          <w:color w:val="auto"/>
          <w:spacing w:val="0"/>
          <w:sz w:val="32"/>
          <w:szCs w:val="32"/>
        </w:rPr>
        <w:t>完善市场主体退出与救治机制，推动低效市场主体有序退出。</w:t>
      </w:r>
    </w:p>
    <w:p w14:paraId="75892181">
      <w:pPr>
        <w:pStyle w:val="3"/>
        <w:keepNext w:val="0"/>
        <w:keepLines w:val="0"/>
        <w:pageBreakBefore w:val="0"/>
        <w:widowControl w:val="0"/>
        <w:numPr>
          <w:ilvl w:val="0"/>
          <w:numId w:val="0"/>
        </w:numPr>
        <w:kinsoku/>
        <w:wordWrap/>
        <w:overflowPunct/>
        <w:topLinePunct w:val="0"/>
        <w:autoSpaceDE/>
        <w:autoSpaceDN/>
        <w:bidi w:val="0"/>
        <w:adjustRightInd/>
        <w:snapToGrid/>
        <w:spacing w:beforeLines="0" w:afterLines="0" w:line="560" w:lineRule="exact"/>
        <w:ind w:left="0" w:leftChars="0" w:firstLine="640" w:firstLineChars="200"/>
        <w:jc w:val="both"/>
        <w:textAlignment w:val="auto"/>
        <w:rPr>
          <w:rFonts w:hint="default" w:ascii="Times New Roman" w:hAnsi="Times New Roman" w:cs="Times New Roman"/>
          <w:b w:val="0"/>
          <w:bCs w:val="0"/>
          <w:color w:val="auto"/>
          <w:spacing w:val="0"/>
        </w:rPr>
      </w:pPr>
      <w:r>
        <w:rPr>
          <w:rFonts w:hint="default" w:ascii="Times New Roman" w:hAnsi="Times New Roman" w:cs="Times New Roman"/>
          <w:b w:val="0"/>
          <w:bCs w:val="0"/>
          <w:color w:val="auto"/>
          <w:spacing w:val="0"/>
          <w:lang w:eastAsia="zh-CN"/>
        </w:rPr>
        <w:t>四、</w:t>
      </w:r>
      <w:r>
        <w:rPr>
          <w:rFonts w:hint="default" w:ascii="Times New Roman" w:hAnsi="Times New Roman" w:cs="Times New Roman"/>
          <w:b w:val="0"/>
          <w:bCs w:val="0"/>
          <w:color w:val="auto"/>
          <w:spacing w:val="0"/>
        </w:rPr>
        <w:t>做实全周期惠企服务，助力企业</w:t>
      </w:r>
      <w:r>
        <w:rPr>
          <w:rFonts w:hint="default" w:ascii="Times New Roman" w:hAnsi="Times New Roman" w:cs="Times New Roman"/>
          <w:b w:val="0"/>
          <w:bCs w:val="0"/>
          <w:color w:val="auto"/>
          <w:spacing w:val="0"/>
          <w:lang w:val="en-US" w:eastAsia="zh-CN"/>
        </w:rPr>
        <w:t>发展</w:t>
      </w:r>
      <w:r>
        <w:rPr>
          <w:rFonts w:hint="default" w:ascii="Times New Roman" w:hAnsi="Times New Roman" w:cs="Times New Roman"/>
          <w:b w:val="0"/>
          <w:bCs w:val="0"/>
          <w:color w:val="auto"/>
          <w:spacing w:val="0"/>
        </w:rPr>
        <w:t>壮大</w:t>
      </w:r>
    </w:p>
    <w:p w14:paraId="069E580F">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（十九）健全企业诉求闭环响应解决机制。</w:t>
      </w:r>
      <w:r>
        <w:rPr>
          <w:rFonts w:hint="default" w:ascii="Times New Roman" w:hAnsi="Times New Roman" w:cs="Times New Roman"/>
          <w:b w:val="0"/>
          <w:bCs w:val="0"/>
          <w:color w:val="auto"/>
          <w:spacing w:val="0"/>
          <w:sz w:val="32"/>
          <w:szCs w:val="32"/>
          <w:lang w:val="en-US" w:eastAsia="zh-CN"/>
        </w:rPr>
        <w:t>落细落实</w:t>
      </w:r>
      <w:r>
        <w:rPr>
          <w:rFonts w:hint="default" w:ascii="Times New Roman" w:hAnsi="Times New Roman" w:eastAsia="仿宋_GB2312" w:cs="Times New Roman"/>
          <w:b w:val="0"/>
          <w:bCs w:val="0"/>
          <w:color w:val="auto"/>
          <w:spacing w:val="0"/>
          <w:sz w:val="32"/>
          <w:szCs w:val="32"/>
        </w:rPr>
        <w:t>“枣解决·枣满意”诉求办理平台运行机制，</w:t>
      </w:r>
      <w:r>
        <w:rPr>
          <w:rFonts w:hint="default" w:ascii="Times New Roman" w:hAnsi="Times New Roman" w:eastAsia="仿宋_GB2312" w:cs="Times New Roman"/>
          <w:b w:val="0"/>
          <w:bCs w:val="0"/>
          <w:color w:val="auto"/>
          <w:spacing w:val="0"/>
          <w:kern w:val="0"/>
          <w:sz w:val="32"/>
          <w:szCs w:val="32"/>
          <w:highlight w:val="none"/>
          <w:lang w:val="en-US" w:eastAsia="zh-CN" w:bidi="ar-SA"/>
        </w:rPr>
        <w:t>坚持“有诉必应马上办”的工作理念，</w:t>
      </w:r>
      <w:r>
        <w:rPr>
          <w:rFonts w:hint="default" w:ascii="Times New Roman" w:hAnsi="Times New Roman" w:eastAsia="仿宋_GB2312" w:cs="Times New Roman"/>
          <w:b w:val="0"/>
          <w:bCs w:val="0"/>
          <w:color w:val="auto"/>
          <w:spacing w:val="0"/>
          <w:sz w:val="32"/>
          <w:szCs w:val="32"/>
        </w:rPr>
        <w:t>“企业吹哨、部门报到”，</w:t>
      </w:r>
      <w:r>
        <w:rPr>
          <w:rFonts w:hint="default" w:ascii="Times New Roman" w:hAnsi="Times New Roman" w:eastAsia="仿宋_GB2312" w:cs="Times New Roman"/>
          <w:b w:val="0"/>
          <w:bCs w:val="0"/>
          <w:color w:val="auto"/>
          <w:spacing w:val="0"/>
          <w:kern w:val="0"/>
          <w:sz w:val="32"/>
          <w:szCs w:val="32"/>
          <w:highlight w:val="none"/>
          <w:lang w:val="en-US" w:eastAsia="zh-CN" w:bidi="ar-SA"/>
        </w:rPr>
        <w:t>对市场主体建议和问题反映类事项落实“2110”工作响应机制</w:t>
      </w:r>
      <w:r>
        <w:rPr>
          <w:rFonts w:hint="default" w:ascii="Times New Roman" w:hAnsi="Times New Roman" w:cs="Times New Roman"/>
          <w:b w:val="0"/>
          <w:bCs w:val="0"/>
          <w:color w:val="auto"/>
          <w:spacing w:val="0"/>
          <w:kern w:val="0"/>
          <w:sz w:val="32"/>
          <w:szCs w:val="32"/>
          <w:highlight w:val="none"/>
          <w:lang w:val="en-US" w:eastAsia="zh-CN" w:bidi="ar-SA"/>
        </w:rPr>
        <w:t>。</w:t>
      </w:r>
      <w:r>
        <w:rPr>
          <w:rFonts w:hint="default" w:ascii="Times New Roman" w:hAnsi="Times New Roman" w:eastAsia="仿宋_GB2312" w:cs="Times New Roman"/>
          <w:b w:val="0"/>
          <w:bCs w:val="0"/>
          <w:color w:val="auto"/>
          <w:spacing w:val="0"/>
          <w:sz w:val="32"/>
          <w:szCs w:val="32"/>
        </w:rPr>
        <w:t>规范12345政务服务便民热线涉企诉求办理流程，整合涉企服务、诉求反映等功能，健全诉求“接、转、办、督、评、用”全流程闭环，着力提升涉企诉求解决率、按期办结率。</w:t>
      </w:r>
      <w:r>
        <w:rPr>
          <w:rFonts w:hint="default" w:ascii="Times New Roman" w:hAnsi="Times New Roman" w:eastAsia="仿宋_GB2312" w:cs="Times New Roman"/>
          <w:b w:val="0"/>
          <w:bCs w:val="0"/>
          <w:color w:val="auto"/>
          <w:spacing w:val="0"/>
          <w:kern w:val="0"/>
          <w:sz w:val="32"/>
          <w:szCs w:val="32"/>
          <w:highlight w:val="none"/>
          <w:lang w:val="en-US" w:eastAsia="zh-CN" w:bidi="ar-SA"/>
        </w:rPr>
        <w:t>健全联席研判机制，精准破解涉企复杂诉求</w:t>
      </w:r>
      <w:r>
        <w:rPr>
          <w:rFonts w:hint="default" w:ascii="Times New Roman" w:hAnsi="Times New Roman" w:cs="Times New Roman"/>
          <w:b w:val="0"/>
          <w:bCs w:val="0"/>
          <w:color w:val="auto"/>
          <w:spacing w:val="0"/>
          <w:kern w:val="0"/>
          <w:sz w:val="32"/>
          <w:szCs w:val="32"/>
          <w:highlight w:val="none"/>
          <w:lang w:val="en-US" w:eastAsia="zh-CN" w:bidi="ar-SA"/>
        </w:rPr>
        <w:t>，</w:t>
      </w:r>
      <w:r>
        <w:rPr>
          <w:rFonts w:hint="default" w:ascii="Times New Roman" w:hAnsi="Times New Roman" w:eastAsia="仿宋_GB2312" w:cs="Times New Roman"/>
          <w:b w:val="0"/>
          <w:bCs w:val="0"/>
          <w:color w:val="auto"/>
          <w:spacing w:val="0"/>
          <w:kern w:val="0"/>
          <w:sz w:val="32"/>
          <w:szCs w:val="32"/>
          <w:highlight w:val="none"/>
          <w:lang w:val="en-US" w:eastAsia="zh-CN" w:bidi="ar-SA"/>
        </w:rPr>
        <w:t>依托区级交办例会机制，层层压实牵头办理责任</w:t>
      </w:r>
      <w:r>
        <w:rPr>
          <w:rFonts w:hint="default" w:ascii="Times New Roman" w:hAnsi="Times New Roman" w:cs="Times New Roman"/>
          <w:b w:val="0"/>
          <w:bCs w:val="0"/>
          <w:color w:val="auto"/>
          <w:spacing w:val="0"/>
          <w:kern w:val="0"/>
          <w:sz w:val="32"/>
          <w:szCs w:val="32"/>
          <w:highlight w:val="none"/>
          <w:lang w:val="en-US" w:eastAsia="zh-CN" w:bidi="ar-SA"/>
        </w:rPr>
        <w:t>，</w:t>
      </w:r>
      <w:r>
        <w:rPr>
          <w:rFonts w:hint="default" w:ascii="Times New Roman" w:hAnsi="Times New Roman" w:eastAsia="仿宋_GB2312" w:cs="Times New Roman"/>
          <w:b w:val="0"/>
          <w:bCs w:val="0"/>
          <w:color w:val="auto"/>
          <w:spacing w:val="0"/>
          <w:sz w:val="32"/>
          <w:szCs w:val="32"/>
        </w:rPr>
        <w:t>实现复杂诉求联合办理、闭环落实。加强诉求数据分析研判，精准识别企业发展共性痛点、行业堵点，推动诉求办理从“接诉即办”向“未诉先办”转变。</w:t>
      </w:r>
    </w:p>
    <w:p w14:paraId="5D73BF61">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kern w:val="0"/>
          <w:sz w:val="32"/>
          <w:szCs w:val="32"/>
          <w:highlight w:val="none"/>
          <w:lang w:val="en-US" w:eastAsia="zh-CN" w:bidi="ar-SA"/>
        </w:rPr>
      </w:pPr>
      <w:r>
        <w:rPr>
          <w:rStyle w:val="11"/>
          <w:rFonts w:hint="default" w:ascii="Times New Roman" w:hAnsi="Times New Roman" w:eastAsia="楷体_GB2312" w:cs="Times New Roman"/>
          <w:b/>
          <w:bCs/>
          <w:color w:val="auto"/>
          <w:spacing w:val="0"/>
          <w:lang w:eastAsia="zh-CN"/>
        </w:rPr>
        <w:t>（二十）完善政企常态化沟通对接机制。</w:t>
      </w:r>
      <w:r>
        <w:rPr>
          <w:rFonts w:hint="default" w:ascii="Times New Roman" w:hAnsi="Times New Roman" w:eastAsia="仿宋_GB2312" w:cs="Times New Roman"/>
          <w:b w:val="0"/>
          <w:bCs w:val="0"/>
          <w:color w:val="auto"/>
          <w:spacing w:val="0"/>
          <w:kern w:val="0"/>
          <w:sz w:val="32"/>
          <w:szCs w:val="32"/>
          <w:highlight w:val="none"/>
          <w:lang w:val="en-US" w:eastAsia="zh-CN" w:bidi="ar-SA"/>
        </w:rPr>
        <w:t>常态化举办政企恳谈会、政银企对接会，出台《全区统一战线“益企同行”服务企业二十一条措施》，持续开展民营企业大走访大调研活动，精准掌握企业诉求。落实“问题收集+现场回应+交办督办+销号管理”的闭环机制，强化政策落地见效。深化“枣联枣好看市中”服务品牌建设，制定印发《开展“为企服务、助企发展”活动的实施方案》，立足工商联创新打造的创新链、资源链、金融链、生态链“四链融合”工作机制，将政企恳谈、企业诉求收集与四大服务链条深度绑定，打破传统“单纯座谈、被动接单”服务模式</w:t>
      </w:r>
      <w:r>
        <w:rPr>
          <w:rFonts w:hint="default" w:ascii="Times New Roman" w:hAnsi="Times New Roman" w:cs="Times New Roman"/>
          <w:b w:val="0"/>
          <w:bCs w:val="0"/>
          <w:color w:val="auto"/>
          <w:spacing w:val="0"/>
          <w:kern w:val="0"/>
          <w:sz w:val="32"/>
          <w:szCs w:val="32"/>
          <w:highlight w:val="none"/>
          <w:lang w:val="en-US" w:eastAsia="zh-CN" w:bidi="ar-SA"/>
        </w:rPr>
        <w:t>，</w:t>
      </w:r>
      <w:r>
        <w:rPr>
          <w:rFonts w:hint="default" w:ascii="Times New Roman" w:hAnsi="Times New Roman" w:eastAsia="仿宋_GB2312" w:cs="Times New Roman"/>
          <w:b w:val="0"/>
          <w:bCs w:val="0"/>
          <w:color w:val="auto"/>
          <w:spacing w:val="0"/>
          <w:kern w:val="0"/>
          <w:sz w:val="32"/>
          <w:szCs w:val="32"/>
          <w:highlight w:val="none"/>
          <w:lang w:val="en-US" w:eastAsia="zh-CN" w:bidi="ar-SA"/>
        </w:rPr>
        <w:t>实现政企沟通从“被动响应”向“主动赋能”转变，精准破解企业个性化、差异化发展难题。</w:t>
      </w:r>
    </w:p>
    <w:p w14:paraId="0980D15A">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（二十一）健全分级分类企业帮包服务体系。</w:t>
      </w:r>
      <w:r>
        <w:rPr>
          <w:rFonts w:hint="default" w:ascii="Times New Roman" w:hAnsi="Times New Roman" w:eastAsia="仿宋_GB2312" w:cs="Times New Roman"/>
          <w:b w:val="0"/>
          <w:bCs w:val="0"/>
          <w:color w:val="auto"/>
          <w:spacing w:val="0"/>
          <w:sz w:val="32"/>
          <w:szCs w:val="32"/>
        </w:rPr>
        <w:t>树牢“与企业一起成长”的理念，</w:t>
      </w:r>
      <w:r>
        <w:rPr>
          <w:rFonts w:hint="default" w:ascii="Times New Roman" w:hAnsi="Times New Roman" w:cs="Times New Roman"/>
          <w:b w:val="0"/>
          <w:bCs w:val="0"/>
          <w:color w:val="auto"/>
          <w:spacing w:val="0"/>
          <w:kern w:val="0"/>
          <w:sz w:val="32"/>
          <w:szCs w:val="32"/>
          <w:highlight w:val="none"/>
          <w:lang w:val="en-US" w:eastAsia="zh-CN" w:bidi="ar-SA"/>
        </w:rPr>
        <w:t>细化</w:t>
      </w:r>
      <w:r>
        <w:rPr>
          <w:rFonts w:hint="default" w:ascii="Times New Roman" w:hAnsi="Times New Roman" w:eastAsia="仿宋_GB2312" w:cs="Times New Roman"/>
          <w:b w:val="0"/>
          <w:bCs w:val="0"/>
          <w:color w:val="auto"/>
          <w:spacing w:val="0"/>
          <w:kern w:val="0"/>
          <w:sz w:val="32"/>
          <w:szCs w:val="32"/>
          <w:highlight w:val="none"/>
          <w:lang w:val="en-US" w:eastAsia="zh-CN" w:bidi="ar-SA"/>
        </w:rPr>
        <w:t>《市中区“服务企业年”工作方案》</w:t>
      </w:r>
      <w:r>
        <w:rPr>
          <w:rFonts w:hint="default" w:ascii="Times New Roman" w:hAnsi="Times New Roman" w:cs="Times New Roman"/>
          <w:b w:val="0"/>
          <w:bCs w:val="0"/>
          <w:color w:val="auto"/>
          <w:spacing w:val="0"/>
          <w:kern w:val="0"/>
          <w:sz w:val="32"/>
          <w:szCs w:val="32"/>
          <w:highlight w:val="none"/>
          <w:lang w:val="en-US" w:eastAsia="zh-CN" w:bidi="ar-SA"/>
        </w:rPr>
        <w:t>落实</w:t>
      </w:r>
      <w:r>
        <w:rPr>
          <w:rFonts w:hint="default" w:ascii="Times New Roman" w:hAnsi="Times New Roman" w:eastAsia="仿宋_GB2312" w:cs="Times New Roman"/>
          <w:b w:val="0"/>
          <w:bCs w:val="0"/>
          <w:color w:val="auto"/>
          <w:spacing w:val="0"/>
          <w:kern w:val="0"/>
          <w:sz w:val="32"/>
          <w:szCs w:val="32"/>
          <w:highlight w:val="none"/>
          <w:lang w:val="en-US" w:eastAsia="zh-CN" w:bidi="ar-SA"/>
        </w:rPr>
        <w:t>，建立完善“三个一批”帮包体系，坚持分层分类、分级管控、协同联动工作原则，构建区级领导、区直部门、镇（街）三级帮包服务体系，推动企业诉求闭环处置、高效办结。</w:t>
      </w:r>
      <w:r>
        <w:rPr>
          <w:rFonts w:hint="default" w:ascii="Times New Roman" w:hAnsi="Times New Roman" w:eastAsia="仿宋_GB2312" w:cs="Times New Roman"/>
          <w:b w:val="0"/>
          <w:bCs w:val="0"/>
          <w:color w:val="auto"/>
          <w:spacing w:val="0"/>
          <w:sz w:val="32"/>
          <w:szCs w:val="32"/>
        </w:rPr>
        <w:t>深入开展民营企业专项服务行动，常态化开展企业走访调研，精准对接企业生产经营需求，</w:t>
      </w:r>
      <w:r>
        <w:rPr>
          <w:rFonts w:hint="default" w:ascii="Times New Roman" w:hAnsi="Times New Roman" w:eastAsia="仿宋_GB2312" w:cs="Times New Roman"/>
          <w:b w:val="0"/>
          <w:bCs w:val="0"/>
          <w:color w:val="auto"/>
          <w:spacing w:val="0"/>
          <w:kern w:val="0"/>
          <w:sz w:val="32"/>
          <w:szCs w:val="32"/>
          <w:highlight w:val="none"/>
          <w:lang w:val="en-US" w:eastAsia="zh-CN" w:bidi="ar-SA"/>
        </w:rPr>
        <w:t>“一企一策”建立诉求问题台账并实行销号管理</w:t>
      </w:r>
      <w:r>
        <w:rPr>
          <w:rFonts w:hint="default" w:ascii="Times New Roman" w:hAnsi="Times New Roman" w:cs="Times New Roman"/>
          <w:b w:val="0"/>
          <w:bCs w:val="0"/>
          <w:color w:val="auto"/>
          <w:spacing w:val="0"/>
          <w:kern w:val="0"/>
          <w:sz w:val="32"/>
          <w:szCs w:val="32"/>
          <w:highlight w:val="none"/>
          <w:lang w:val="en-US" w:eastAsia="zh-CN" w:bidi="ar-SA"/>
        </w:rPr>
        <w:t>，</w:t>
      </w:r>
      <w:r>
        <w:rPr>
          <w:rFonts w:hint="default" w:ascii="Times New Roman" w:hAnsi="Times New Roman" w:eastAsia="仿宋_GB2312" w:cs="Times New Roman"/>
          <w:b w:val="0"/>
          <w:bCs w:val="0"/>
          <w:color w:val="auto"/>
          <w:spacing w:val="0"/>
          <w:sz w:val="32"/>
          <w:szCs w:val="32"/>
        </w:rPr>
        <w:t>用心用情做好日常服务，推动企业诉求在一线解决、惠企政策在一线落实，持续提升营商环境企业满意度。</w:t>
      </w:r>
    </w:p>
    <w:p w14:paraId="760DB91B">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楷体_GB2312" w:cs="Times New Roman"/>
          <w:b w:val="0"/>
          <w:bCs w:val="0"/>
          <w:color w:val="auto"/>
          <w:spacing w:val="0"/>
          <w:sz w:val="32"/>
          <w:szCs w:val="32"/>
        </w:rPr>
      </w:pPr>
      <w:r>
        <w:rPr>
          <w:rStyle w:val="11"/>
          <w:rFonts w:hint="default" w:ascii="Times New Roman" w:hAnsi="Times New Roman" w:eastAsia="楷体_GB2312" w:cs="Times New Roman"/>
          <w:b/>
          <w:bCs/>
          <w:color w:val="auto"/>
          <w:spacing w:val="0"/>
          <w:lang w:eastAsia="zh-CN"/>
        </w:rPr>
        <w:t>（二十二）构建企业全周期梯度培育体系。</w:t>
      </w:r>
      <w:r>
        <w:rPr>
          <w:rFonts w:hint="default" w:ascii="Times New Roman" w:hAnsi="Times New Roman" w:eastAsia="仿宋_GB2312" w:cs="Times New Roman"/>
          <w:b w:val="0"/>
          <w:bCs w:val="0"/>
          <w:color w:val="auto"/>
          <w:spacing w:val="0"/>
          <w:sz w:val="32"/>
          <w:szCs w:val="32"/>
        </w:rPr>
        <w:t>完善“科技型中小企业—高新技术企业—专精特新企业—上市后备企业”梯次培育体系，</w:t>
      </w:r>
      <w:r>
        <w:rPr>
          <w:rFonts w:hint="default" w:ascii="Times New Roman" w:hAnsi="Times New Roman" w:eastAsia="仿宋_GB2312" w:cs="Times New Roman"/>
          <w:b w:val="0"/>
          <w:bCs w:val="0"/>
          <w:color w:val="auto"/>
          <w:spacing w:val="0"/>
          <w:kern w:val="0"/>
          <w:sz w:val="32"/>
          <w:szCs w:val="32"/>
          <w:highlight w:val="none"/>
          <w:lang w:val="en-US" w:eastAsia="zh-CN" w:bidi="ar-SA"/>
        </w:rPr>
        <w:t>深入实施高新技术企业“双培育”计划和科技型中小企业“育苗”计划</w:t>
      </w:r>
      <w:r>
        <w:rPr>
          <w:rFonts w:hint="default" w:ascii="Times New Roman" w:hAnsi="Times New Roman" w:cs="Times New Roman"/>
          <w:b w:val="0"/>
          <w:bCs w:val="0"/>
          <w:color w:val="auto"/>
          <w:spacing w:val="0"/>
          <w:kern w:val="0"/>
          <w:sz w:val="32"/>
          <w:szCs w:val="32"/>
          <w:highlight w:val="none"/>
          <w:lang w:val="en-US" w:eastAsia="zh-CN" w:bidi="ar-SA"/>
        </w:rPr>
        <w:t>，</w:t>
      </w:r>
      <w:r>
        <w:rPr>
          <w:rFonts w:hint="default" w:ascii="Times New Roman" w:hAnsi="Times New Roman" w:eastAsia="仿宋_GB2312" w:cs="Times New Roman"/>
          <w:b w:val="0"/>
          <w:bCs w:val="0"/>
          <w:color w:val="auto"/>
          <w:spacing w:val="0"/>
          <w:kern w:val="0"/>
          <w:sz w:val="32"/>
          <w:szCs w:val="32"/>
          <w:highlight w:val="none"/>
          <w:lang w:val="en-US" w:eastAsia="zh-CN" w:bidi="ar-SA"/>
        </w:rPr>
        <w:t>完善企业生命周期的普惠性创新政策</w:t>
      </w:r>
      <w:r>
        <w:rPr>
          <w:rFonts w:hint="default" w:ascii="Times New Roman" w:hAnsi="Times New Roman" w:cs="Times New Roman"/>
          <w:b w:val="0"/>
          <w:bCs w:val="0"/>
          <w:color w:val="auto"/>
          <w:spacing w:val="0"/>
          <w:kern w:val="0"/>
          <w:sz w:val="32"/>
          <w:szCs w:val="32"/>
          <w:highlight w:val="none"/>
          <w:lang w:val="en-US" w:eastAsia="zh-CN" w:bidi="ar-SA"/>
        </w:rPr>
        <w:t>体系。</w:t>
      </w:r>
      <w:r>
        <w:rPr>
          <w:rFonts w:hint="default" w:ascii="Times New Roman" w:hAnsi="Times New Roman" w:eastAsia="仿宋_GB2312" w:cs="Times New Roman"/>
          <w:b w:val="0"/>
          <w:bCs w:val="0"/>
          <w:color w:val="auto"/>
          <w:spacing w:val="0"/>
          <w:kern w:val="0"/>
          <w:sz w:val="32"/>
          <w:szCs w:val="32"/>
          <w:highlight w:val="none"/>
          <w:lang w:val="en-US" w:eastAsia="zh-CN" w:bidi="ar-SA"/>
        </w:rPr>
        <w:t>对重点拟上市企业实行全程“陪跑”，精准施策，推动各层级优质企业扩量提质。</w:t>
      </w:r>
    </w:p>
    <w:p w14:paraId="7C59474F">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Style w:val="11"/>
          <w:rFonts w:hint="default" w:ascii="Times New Roman" w:hAnsi="Times New Roman" w:eastAsia="楷体_GB2312" w:cs="Times New Roman"/>
          <w:b w:val="0"/>
          <w:bCs w:val="0"/>
          <w:color w:val="auto"/>
          <w:spacing w:val="0"/>
          <w:highlight w:val="yellow"/>
          <w:lang w:val="en-US" w:eastAsia="zh-CN"/>
        </w:rPr>
      </w:pPr>
      <w:r>
        <w:rPr>
          <w:rStyle w:val="11"/>
          <w:rFonts w:hint="default" w:ascii="Times New Roman" w:hAnsi="Times New Roman" w:eastAsia="楷体_GB2312" w:cs="Times New Roman"/>
          <w:b/>
          <w:bCs/>
          <w:color w:val="auto"/>
          <w:spacing w:val="0"/>
          <w:lang w:eastAsia="zh-CN"/>
        </w:rPr>
        <w:t>（二十三）强化金融精准赋能与普惠服务升级。</w:t>
      </w:r>
      <w:r>
        <w:rPr>
          <w:rFonts w:hint="default" w:ascii="Times New Roman" w:hAnsi="Times New Roman" w:eastAsia="仿宋_GB2312" w:cs="Times New Roman"/>
          <w:b w:val="0"/>
          <w:bCs w:val="0"/>
          <w:color w:val="auto"/>
          <w:spacing w:val="0"/>
          <w:kern w:val="0"/>
          <w:sz w:val="32"/>
          <w:szCs w:val="32"/>
          <w:highlight w:val="none"/>
          <w:lang w:val="en-US" w:eastAsia="zh-CN" w:bidi="ar-SA"/>
        </w:rPr>
        <w:t>健全完善政金企协同联动机制，围绕全市“432”现代化产业体系及</w:t>
      </w:r>
      <w:r>
        <w:rPr>
          <w:rFonts w:hint="default" w:ascii="Times New Roman" w:hAnsi="Times New Roman" w:cs="Times New Roman"/>
          <w:b w:val="0"/>
          <w:bCs w:val="0"/>
          <w:color w:val="auto"/>
          <w:spacing w:val="0"/>
          <w:kern w:val="0"/>
          <w:sz w:val="32"/>
          <w:szCs w:val="32"/>
          <w:highlight w:val="none"/>
          <w:lang w:val="en-US" w:eastAsia="zh-CN" w:bidi="ar-SA"/>
        </w:rPr>
        <w:t>我</w:t>
      </w:r>
      <w:r>
        <w:rPr>
          <w:rFonts w:hint="default" w:ascii="Times New Roman" w:hAnsi="Times New Roman" w:eastAsia="仿宋_GB2312" w:cs="Times New Roman"/>
          <w:b w:val="0"/>
          <w:bCs w:val="0"/>
          <w:color w:val="auto"/>
          <w:spacing w:val="0"/>
          <w:kern w:val="0"/>
          <w:sz w:val="32"/>
          <w:szCs w:val="32"/>
          <w:highlight w:val="none"/>
          <w:lang w:val="en-US" w:eastAsia="zh-CN" w:bidi="ar-SA"/>
        </w:rPr>
        <w:t>区“442”产业体系，联合园区、行业主管部门等单位，常态化开展融资对接沙龙、金融产品推介等专题活动。深入推进金融伙伴走访调研、民营企业服务直连、个体工商户融资对接等专项行动，充分发挥金融人才库挂职干部专业优势与金融伙伴团队桥梁纽带作用，提升服务质效。积极引导金融机构加大产品创新力度，持续优化辖区信用融资服务体系，丰富多元化信用融资产品矩阵。统筹用好政府性融资担保等普惠金融扶持工具，聚焦中小微企业融资痛点，着力推广无还本续贷、纯信用贷款业务，降低企业融资周转成本，稳步提高辖区中小微企业信用贷款投放比重。</w:t>
      </w:r>
    </w:p>
    <w:p w14:paraId="05962D04">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（二十四）</w:t>
      </w:r>
      <w:r>
        <w:rPr>
          <w:rStyle w:val="11"/>
          <w:rFonts w:hint="default" w:ascii="Times New Roman" w:hAnsi="Times New Roman" w:eastAsia="楷体_GB2312" w:cs="Times New Roman"/>
          <w:b/>
          <w:bCs/>
          <w:color w:val="auto"/>
          <w:spacing w:val="0"/>
          <w:lang w:val="en-US" w:eastAsia="zh-CN"/>
        </w:rPr>
        <w:t>推动</w:t>
      </w:r>
      <w:r>
        <w:rPr>
          <w:rStyle w:val="11"/>
          <w:rFonts w:hint="default" w:ascii="Times New Roman" w:hAnsi="Times New Roman" w:eastAsia="楷体_GB2312" w:cs="Times New Roman"/>
          <w:b/>
          <w:bCs/>
          <w:color w:val="auto"/>
          <w:spacing w:val="0"/>
          <w:lang w:eastAsia="zh-CN"/>
        </w:rPr>
        <w:t>惠企政策直达快享。</w:t>
      </w:r>
      <w:r>
        <w:rPr>
          <w:rFonts w:hint="default" w:ascii="Times New Roman" w:hAnsi="Times New Roman" w:eastAsia="仿宋_GB2312" w:cs="Times New Roman"/>
          <w:b w:val="0"/>
          <w:bCs w:val="0"/>
          <w:color w:val="auto"/>
          <w:spacing w:val="0"/>
          <w:sz w:val="32"/>
          <w:szCs w:val="32"/>
        </w:rPr>
        <w:t>全面梳理全</w:t>
      </w:r>
      <w:r>
        <w:rPr>
          <w:rFonts w:hint="default" w:ascii="Times New Roman" w:hAnsi="Times New Roman" w:cs="Times New Roman"/>
          <w:b w:val="0"/>
          <w:bCs w:val="0"/>
          <w:color w:val="auto"/>
          <w:spacing w:val="0"/>
          <w:sz w:val="32"/>
          <w:szCs w:val="32"/>
          <w:lang w:val="en-US" w:eastAsia="zh-CN"/>
        </w:rPr>
        <w:t>区</w:t>
      </w:r>
      <w:r>
        <w:rPr>
          <w:rFonts w:hint="default" w:ascii="Times New Roman" w:hAnsi="Times New Roman" w:eastAsia="仿宋_GB2312" w:cs="Times New Roman"/>
          <w:b w:val="0"/>
          <w:bCs w:val="0"/>
          <w:color w:val="auto"/>
          <w:spacing w:val="0"/>
          <w:sz w:val="32"/>
          <w:szCs w:val="32"/>
        </w:rPr>
        <w:t>惠企政策全量清单，强化政策精准解读与宣传推送，通过政策图解、</w:t>
      </w:r>
      <w:r>
        <w:rPr>
          <w:rFonts w:hint="default" w:ascii="Times New Roman" w:hAnsi="Times New Roman" w:eastAsia="仿宋_GB2312" w:cs="Times New Roman"/>
          <w:b w:val="0"/>
          <w:bCs w:val="0"/>
          <w:color w:val="auto"/>
          <w:spacing w:val="-6"/>
          <w:sz w:val="32"/>
          <w:szCs w:val="32"/>
        </w:rPr>
        <w:t>场景化问答、线上线下宣讲等形式，让企业看得懂、算得清、用得上。</w:t>
      </w:r>
      <w:r>
        <w:rPr>
          <w:rFonts w:hint="default" w:ascii="Times New Roman" w:hAnsi="Times New Roman" w:cs="Times New Roman"/>
          <w:b w:val="0"/>
          <w:bCs w:val="0"/>
          <w:color w:val="auto"/>
          <w:spacing w:val="-6"/>
          <w:sz w:val="32"/>
          <w:szCs w:val="32"/>
          <w:lang w:val="en-US" w:eastAsia="zh-CN"/>
        </w:rPr>
        <w:t>用好</w:t>
      </w:r>
      <w:r>
        <w:rPr>
          <w:rFonts w:hint="default" w:ascii="Times New Roman" w:hAnsi="Times New Roman" w:eastAsia="仿宋_GB2312" w:cs="Times New Roman"/>
          <w:b w:val="0"/>
          <w:bCs w:val="0"/>
          <w:color w:val="auto"/>
          <w:spacing w:val="-6"/>
          <w:sz w:val="32"/>
          <w:szCs w:val="32"/>
        </w:rPr>
        <w:t>“枣惠通”政策兑现平台，推动</w:t>
      </w:r>
      <w:r>
        <w:rPr>
          <w:rFonts w:hint="default" w:ascii="Times New Roman" w:hAnsi="Times New Roman" w:cs="Times New Roman"/>
          <w:b w:val="0"/>
          <w:bCs w:val="0"/>
          <w:color w:val="auto"/>
          <w:spacing w:val="-6"/>
          <w:sz w:val="32"/>
          <w:szCs w:val="32"/>
          <w:lang w:val="en-US" w:eastAsia="zh-CN"/>
        </w:rPr>
        <w:t>区</w:t>
      </w:r>
      <w:r>
        <w:rPr>
          <w:rFonts w:hint="default" w:ascii="Times New Roman" w:hAnsi="Times New Roman" w:eastAsia="仿宋_GB2312" w:cs="Times New Roman"/>
          <w:b w:val="0"/>
          <w:bCs w:val="0"/>
          <w:color w:val="auto"/>
          <w:spacing w:val="-6"/>
          <w:sz w:val="32"/>
          <w:szCs w:val="32"/>
        </w:rPr>
        <w:t>级惠企政策应上尽上。</w:t>
      </w:r>
    </w:p>
    <w:p w14:paraId="7ED6B9ED">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（二十五）强化科技创新全链条赋能。</w:t>
      </w:r>
      <w:r>
        <w:rPr>
          <w:rFonts w:hint="default" w:ascii="Times New Roman" w:hAnsi="Times New Roman" w:eastAsia="仿宋_GB2312" w:cs="Times New Roman"/>
          <w:b w:val="0"/>
          <w:bCs w:val="0"/>
          <w:color w:val="auto"/>
          <w:spacing w:val="0"/>
          <w:sz w:val="32"/>
          <w:szCs w:val="32"/>
        </w:rPr>
        <w:t>实施“科技服务、助企创新”专项行动，落实研发投入后补助政策，</w:t>
      </w:r>
      <w:r>
        <w:rPr>
          <w:rFonts w:hint="default" w:ascii="Times New Roman" w:hAnsi="Times New Roman" w:eastAsia="仿宋_GB2312" w:cs="Times New Roman"/>
          <w:b w:val="0"/>
          <w:bCs w:val="0"/>
          <w:color w:val="auto"/>
          <w:spacing w:val="0"/>
          <w:kern w:val="0"/>
          <w:sz w:val="32"/>
          <w:szCs w:val="32"/>
          <w:highlight w:val="none"/>
          <w:lang w:val="en-US" w:eastAsia="zh-CN" w:bidi="ar-SA"/>
        </w:rPr>
        <w:t>推广使用山东科技大市场枣庄市场信息化平台，扎实开展创新券全流程管理工作，推动更多企业将大型仪器纳入共享平台入网管理。</w:t>
      </w:r>
      <w:r>
        <w:rPr>
          <w:rFonts w:hint="default" w:ascii="Times New Roman" w:hAnsi="Times New Roman" w:cs="Times New Roman"/>
          <w:b w:val="0"/>
          <w:bCs w:val="0"/>
          <w:color w:val="auto"/>
          <w:spacing w:val="0"/>
          <w:sz w:val="32"/>
          <w:szCs w:val="32"/>
          <w:highlight w:val="none"/>
          <w:lang w:val="en-US" w:eastAsia="zh-CN"/>
        </w:rPr>
        <w:t>对接</w:t>
      </w:r>
      <w:r>
        <w:rPr>
          <w:rFonts w:hint="default" w:ascii="Times New Roman" w:hAnsi="Times New Roman" w:eastAsia="仿宋_GB2312" w:cs="Times New Roman"/>
          <w:b w:val="0"/>
          <w:bCs w:val="0"/>
          <w:color w:val="auto"/>
          <w:spacing w:val="0"/>
          <w:sz w:val="32"/>
          <w:szCs w:val="32"/>
        </w:rPr>
        <w:t>省级科技特派员、科技副总深入企业开展技术服务，组织实施省、市重点研发计划项目，扩大科技成果转化贷款覆盖范围。</w:t>
      </w:r>
    </w:p>
    <w:p w14:paraId="65054C6B">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Style w:val="11"/>
          <w:rFonts w:hint="default" w:ascii="Times New Roman" w:hAnsi="Times New Roman" w:cs="Times New Roman"/>
          <w:b w:val="0"/>
          <w:bCs w:val="0"/>
          <w:color w:val="auto"/>
          <w:spacing w:val="0"/>
          <w:lang w:val="en-US" w:eastAsia="zh-CN"/>
        </w:rPr>
      </w:pPr>
      <w:r>
        <w:rPr>
          <w:rStyle w:val="11"/>
          <w:rFonts w:hint="default" w:ascii="Times New Roman" w:hAnsi="Times New Roman" w:eastAsia="楷体_GB2312" w:cs="Times New Roman"/>
          <w:b/>
          <w:bCs/>
          <w:color w:val="auto"/>
          <w:spacing w:val="0"/>
          <w:lang w:eastAsia="zh-CN"/>
        </w:rPr>
        <w:t>（二十六）推动企业数字化转型提质增效。</w:t>
      </w:r>
      <w:r>
        <w:rPr>
          <w:rFonts w:hint="default" w:ascii="Times New Roman" w:hAnsi="Times New Roman" w:eastAsia="仿宋_GB2312" w:cs="Times New Roman"/>
          <w:b w:val="0"/>
          <w:bCs w:val="0"/>
          <w:color w:val="auto"/>
          <w:spacing w:val="0"/>
          <w:kern w:val="0"/>
          <w:sz w:val="32"/>
          <w:szCs w:val="32"/>
          <w:highlight w:val="none"/>
          <w:lang w:val="en-US" w:eastAsia="zh-CN" w:bidi="ar-SA"/>
        </w:rPr>
        <w:t>紧扣“枣试智享”计划，摸清重点企业转型意向，聚焦痛点推进“小快轻准”方案，推动易部署产品落地试用，加速规上工业企业智改数转提质扩面</w:t>
      </w:r>
      <w:r>
        <w:rPr>
          <w:rFonts w:hint="default" w:ascii="Times New Roman" w:hAnsi="Times New Roman" w:eastAsia="仿宋_GB2312" w:cs="Times New Roman"/>
          <w:b w:val="0"/>
          <w:bCs w:val="0"/>
          <w:color w:val="auto"/>
          <w:spacing w:val="0"/>
          <w:sz w:val="32"/>
          <w:szCs w:val="32"/>
        </w:rPr>
        <w:t>。深化“人工智能＋制造”融合应用，持续提升企业智能化、绿色化发展水平。</w:t>
      </w:r>
    </w:p>
    <w:p w14:paraId="2811803D">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（二十七）强化企业用工保障与人才引育服务。</w:t>
      </w:r>
      <w:r>
        <w:rPr>
          <w:rFonts w:hint="default" w:ascii="Times New Roman" w:hAnsi="Times New Roman" w:eastAsia="仿宋_GB2312" w:cs="Times New Roman"/>
          <w:b w:val="0"/>
          <w:bCs w:val="0"/>
          <w:color w:val="auto"/>
          <w:spacing w:val="0"/>
          <w:sz w:val="32"/>
          <w:szCs w:val="32"/>
        </w:rPr>
        <w:t>用好“枣工快递”服务平台，常态化开展线上线下专场招聘，持续加强技能人才培育。深化校企“双元”育人模式，壮大高技能人才、专业技术人才队伍。</w:t>
      </w:r>
      <w:r>
        <w:rPr>
          <w:rFonts w:hint="default" w:ascii="Times New Roman" w:hAnsi="Times New Roman" w:cs="Times New Roman"/>
          <w:b w:val="0"/>
          <w:bCs w:val="0"/>
          <w:strike w:val="0"/>
          <w:dstrike w:val="0"/>
          <w:color w:val="000000" w:themeColor="text1"/>
          <w:spacing w:val="0"/>
          <w:sz w:val="32"/>
          <w:szCs w:val="32"/>
          <w:highlight w:val="none"/>
          <w:lang w:val="en-US" w:eastAsia="zh-CN"/>
          <w14:textFill>
            <w14:solidFill>
              <w14:schemeClr w14:val="tx1"/>
            </w14:solidFill>
          </w14:textFill>
        </w:rPr>
        <w:t>落实高层次人才分级分类管理措施</w:t>
      </w:r>
      <w:r>
        <w:rPr>
          <w:rFonts w:hint="default" w:ascii="Times New Roman" w:hAnsi="Times New Roman" w:cs="Times New Roman"/>
          <w:b w:val="0"/>
          <w:bCs w:val="0"/>
          <w:strike w:val="0"/>
          <w:dstrike w:val="0"/>
          <w:color w:val="000000" w:themeColor="text1"/>
          <w:spacing w:val="0"/>
          <w:sz w:val="32"/>
          <w:szCs w:val="32"/>
          <w:highlight w:val="none"/>
          <w:lang w:eastAsia="zh-CN"/>
          <w14:textFill>
            <w14:solidFill>
              <w14:schemeClr w14:val="tx1"/>
            </w14:solidFill>
          </w14:textFill>
        </w:rPr>
        <w:t>，</w:t>
      </w:r>
      <w:r>
        <w:rPr>
          <w:rFonts w:hint="default" w:ascii="Times New Roman" w:hAnsi="Times New Roman" w:cs="Times New Roman"/>
          <w:b w:val="0"/>
          <w:bCs w:val="0"/>
          <w:strike w:val="0"/>
          <w:dstrike w:val="0"/>
          <w:color w:val="000000" w:themeColor="text1"/>
          <w:spacing w:val="0"/>
          <w:sz w:val="32"/>
          <w:szCs w:val="32"/>
          <w:highlight w:val="none"/>
          <w:lang w:val="en-US" w:eastAsia="zh-CN"/>
          <w14:textFill>
            <w14:solidFill>
              <w14:schemeClr w14:val="tx1"/>
            </w14:solidFill>
          </w14:textFill>
        </w:rPr>
        <w:t>规范</w:t>
      </w:r>
      <w:r>
        <w:rPr>
          <w:rFonts w:hint="default" w:ascii="Times New Roman" w:hAnsi="Times New Roman" w:eastAsia="仿宋_GB2312" w:cs="Times New Roman"/>
          <w:b w:val="0"/>
          <w:bCs w:val="0"/>
          <w:color w:val="000000" w:themeColor="text1"/>
          <w:spacing w:val="0"/>
          <w:sz w:val="32"/>
          <w:szCs w:val="32"/>
          <w:highlight w:val="none"/>
          <w14:textFill>
            <w14:solidFill>
              <w14:schemeClr w14:val="tx1"/>
            </w14:solidFill>
          </w14:textFill>
        </w:rPr>
        <w:t>高层次人才服务</w:t>
      </w:r>
      <w:r>
        <w:rPr>
          <w:rFonts w:hint="default" w:ascii="Times New Roman" w:hAnsi="Times New Roman" w:eastAsia="仿宋_GB2312" w:cs="Times New Roman"/>
          <w:b w:val="0"/>
          <w:bCs w:val="0"/>
          <w:strike w:val="0"/>
          <w:dstrike w:val="0"/>
          <w:color w:val="000000" w:themeColor="text1"/>
          <w:spacing w:val="0"/>
          <w:sz w:val="32"/>
          <w:szCs w:val="32"/>
          <w:highlight w:val="none"/>
          <w14:textFill>
            <w14:solidFill>
              <w14:schemeClr w14:val="tx1"/>
            </w14:solidFill>
          </w14:textFill>
        </w:rPr>
        <w:t>，</w:t>
      </w:r>
      <w:r>
        <w:rPr>
          <w:rFonts w:hint="default" w:ascii="Times New Roman" w:hAnsi="Times New Roman" w:eastAsia="仿宋_GB2312" w:cs="Times New Roman"/>
          <w:b w:val="0"/>
          <w:bCs w:val="0"/>
          <w:color w:val="auto"/>
          <w:spacing w:val="0"/>
          <w:sz w:val="32"/>
          <w:szCs w:val="32"/>
        </w:rPr>
        <w:t>优化创业就业专项贷款服务。</w:t>
      </w:r>
    </w:p>
    <w:p w14:paraId="7E562145">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（二十八）深化拖欠企业账款常态化治理。</w:t>
      </w:r>
      <w:r>
        <w:rPr>
          <w:rFonts w:hint="default" w:ascii="Times New Roman" w:hAnsi="Times New Roman" w:eastAsia="仿宋_GB2312" w:cs="Times New Roman"/>
          <w:b w:val="0"/>
          <w:bCs w:val="0"/>
          <w:color w:val="auto"/>
          <w:spacing w:val="0"/>
          <w:kern w:val="0"/>
          <w:sz w:val="32"/>
          <w:szCs w:val="32"/>
          <w:highlight w:val="none"/>
          <w:lang w:val="en-US" w:eastAsia="zh-CN" w:bidi="ar-SA"/>
        </w:rPr>
        <w:t>贯彻落实《保障中小企业款项支付条例》及配套实施办法，健全完善投诉线索“受理、转办、处理、反馈”的闭环办理机制和“函询、约谈、督导、通报”的工作推进机制，持续提升投诉化解率。</w:t>
      </w:r>
      <w:r>
        <w:rPr>
          <w:rFonts w:hint="default" w:ascii="Times New Roman" w:hAnsi="Times New Roman" w:eastAsia="仿宋_GB2312" w:cs="Times New Roman"/>
          <w:b w:val="0"/>
          <w:bCs w:val="0"/>
          <w:color w:val="auto"/>
          <w:spacing w:val="0"/>
          <w:sz w:val="32"/>
          <w:szCs w:val="32"/>
        </w:rPr>
        <w:t>完善府院联动执行机制，推动无分歧欠款动态清零，有分歧欠款依法依规加快化解。</w:t>
      </w:r>
    </w:p>
    <w:p w14:paraId="59ADFB9A">
      <w:pPr>
        <w:pStyle w:val="3"/>
        <w:keepNext w:val="0"/>
        <w:keepLines w:val="0"/>
        <w:pageBreakBefore w:val="0"/>
        <w:widowControl w:val="0"/>
        <w:numPr>
          <w:ilvl w:val="0"/>
          <w:numId w:val="0"/>
        </w:numPr>
        <w:kinsoku/>
        <w:wordWrap/>
        <w:overflowPunct/>
        <w:topLinePunct w:val="0"/>
        <w:autoSpaceDE/>
        <w:autoSpaceDN/>
        <w:bidi w:val="0"/>
        <w:adjustRightInd/>
        <w:snapToGrid/>
        <w:spacing w:beforeLines="0" w:afterLines="0" w:line="560" w:lineRule="exact"/>
        <w:ind w:left="0" w:leftChars="0" w:firstLine="640" w:firstLineChars="200"/>
        <w:jc w:val="both"/>
        <w:textAlignment w:val="auto"/>
        <w:rPr>
          <w:rFonts w:hint="default" w:ascii="Times New Roman" w:hAnsi="Times New Roman" w:cs="Times New Roman"/>
          <w:b w:val="0"/>
          <w:bCs w:val="0"/>
          <w:color w:val="auto"/>
          <w:spacing w:val="0"/>
        </w:rPr>
      </w:pPr>
      <w:r>
        <w:rPr>
          <w:rFonts w:hint="default" w:ascii="Times New Roman" w:hAnsi="Times New Roman" w:cs="Times New Roman"/>
          <w:b w:val="0"/>
          <w:bCs w:val="0"/>
          <w:color w:val="auto"/>
          <w:spacing w:val="0"/>
          <w:lang w:eastAsia="zh-CN"/>
        </w:rPr>
        <w:t>五、</w:t>
      </w:r>
      <w:r>
        <w:rPr>
          <w:rFonts w:hint="default" w:ascii="Times New Roman" w:hAnsi="Times New Roman" w:cs="Times New Roman"/>
          <w:b w:val="0"/>
          <w:bCs w:val="0"/>
          <w:color w:val="auto"/>
          <w:spacing w:val="0"/>
        </w:rPr>
        <w:t>扩大内外双向开放，提升涉外服务水平</w:t>
      </w:r>
    </w:p>
    <w:p w14:paraId="2AD7F0F0">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kern w:val="0"/>
          <w:sz w:val="32"/>
          <w:szCs w:val="32"/>
          <w:highlight w:val="none"/>
          <w:lang w:val="en-US" w:eastAsia="zh-CN" w:bidi="ar-SA"/>
        </w:rPr>
      </w:pPr>
      <w:r>
        <w:rPr>
          <w:rStyle w:val="11"/>
          <w:rFonts w:hint="default" w:ascii="Times New Roman" w:hAnsi="Times New Roman" w:eastAsia="楷体_GB2312" w:cs="Times New Roman"/>
          <w:b/>
          <w:bCs/>
          <w:color w:val="auto"/>
          <w:spacing w:val="0"/>
          <w:lang w:eastAsia="zh-CN"/>
        </w:rPr>
        <w:t>（二十九）提升外商投资全周期服务质效。</w:t>
      </w:r>
      <w:r>
        <w:rPr>
          <w:rFonts w:hint="default" w:ascii="Times New Roman" w:hAnsi="Times New Roman" w:eastAsia="仿宋_GB2312" w:cs="Times New Roman"/>
          <w:b w:val="0"/>
          <w:bCs w:val="0"/>
          <w:color w:val="auto"/>
          <w:spacing w:val="0"/>
          <w:kern w:val="0"/>
          <w:sz w:val="32"/>
          <w:szCs w:val="32"/>
          <w:highlight w:val="none"/>
          <w:lang w:val="en-US" w:eastAsia="zh-CN" w:bidi="ar-SA"/>
        </w:rPr>
        <w:t>持续加大对外资项目和利润再投资项目的招引力度，实施“揭榜挂帅”工程，构建“10条产业链+4组招商专班+全员揭榜挂帅”联动格局，围绕市级榜单洽谈推进意向项目，梳理区级拟发榜项目。完善外资重大项目跟踪服务机制，强化各类要素保障，对重点外资项目进行全生命周期动态管理，着力解决项目落地运营过程中存在的问题和困难，实现持续利用外资。</w:t>
      </w:r>
    </w:p>
    <w:p w14:paraId="3D663F82">
      <w:pPr>
        <w:keepNext w:val="0"/>
        <w:keepLines w:val="0"/>
        <w:pageBreakBefore w:val="0"/>
        <w:widowControl w:val="0"/>
        <w:suppressLineNumbers w:val="0"/>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color w:val="auto"/>
          <w:spacing w:val="0"/>
          <w:sz w:val="32"/>
          <w:szCs w:val="32"/>
          <w:highlight w:val="yellow"/>
          <w:lang w:eastAsia="zh-CN"/>
        </w:rPr>
      </w:pPr>
      <w:r>
        <w:rPr>
          <w:rStyle w:val="11"/>
          <w:rFonts w:hint="default" w:cs="Times New Roman"/>
          <w:b/>
          <w:bCs/>
          <w:color w:val="auto"/>
          <w:spacing w:val="0"/>
          <w:kern w:val="0"/>
          <w:lang w:eastAsia="zh-CN"/>
        </w:rPr>
        <w:t>（三十）完善企业出海综合服务体系。</w:t>
      </w:r>
      <w:r>
        <w:rPr>
          <w:rFonts w:hint="default" w:ascii="Times New Roman" w:hAnsi="Times New Roman" w:eastAsia="仿宋_GB2312" w:cs="Times New Roman"/>
          <w:b w:val="0"/>
          <w:bCs w:val="0"/>
          <w:color w:val="auto"/>
          <w:spacing w:val="0"/>
          <w:kern w:val="0"/>
          <w:sz w:val="32"/>
          <w:szCs w:val="32"/>
          <w:highlight w:val="none"/>
          <w:lang w:val="en-US" w:eastAsia="zh-CN" w:bidi="ar-SA"/>
        </w:rPr>
        <w:t>深入实施“万企出海 鲁贸全球”境外展会计划，积极组织企业参与“枣出去 瞰世界”专项行动，筛选推荐重点境外展会，引导企业稳住传统市场，大力开拓“一带一路”、东盟、拉美等新兴市场，加快市场多元化布局。用好省涉外法律服务平台。</w:t>
      </w:r>
    </w:p>
    <w:p w14:paraId="58D90D50">
      <w:pPr>
        <w:pStyle w:val="3"/>
        <w:keepNext w:val="0"/>
        <w:keepLines w:val="0"/>
        <w:pageBreakBefore w:val="0"/>
        <w:widowControl w:val="0"/>
        <w:numPr>
          <w:ilvl w:val="0"/>
          <w:numId w:val="0"/>
        </w:numPr>
        <w:kinsoku/>
        <w:wordWrap/>
        <w:overflowPunct/>
        <w:topLinePunct w:val="0"/>
        <w:autoSpaceDE/>
        <w:autoSpaceDN/>
        <w:bidi w:val="0"/>
        <w:adjustRightInd/>
        <w:snapToGrid/>
        <w:spacing w:beforeLines="0" w:afterLines="0" w:line="560" w:lineRule="exact"/>
        <w:ind w:left="0" w:leftChars="0" w:firstLine="640" w:firstLineChars="200"/>
        <w:jc w:val="both"/>
        <w:textAlignment w:val="auto"/>
        <w:rPr>
          <w:rFonts w:hint="default" w:ascii="Times New Roman" w:hAnsi="Times New Roman" w:cs="Times New Roman"/>
          <w:b w:val="0"/>
          <w:bCs w:val="0"/>
          <w:color w:val="auto"/>
          <w:spacing w:val="0"/>
        </w:rPr>
      </w:pPr>
      <w:r>
        <w:rPr>
          <w:rFonts w:hint="default" w:ascii="Times New Roman" w:hAnsi="Times New Roman" w:cs="Times New Roman"/>
          <w:b w:val="0"/>
          <w:bCs w:val="0"/>
          <w:color w:val="auto"/>
          <w:spacing w:val="0"/>
          <w:lang w:eastAsia="zh-CN"/>
        </w:rPr>
        <w:t>六、</w:t>
      </w:r>
      <w:r>
        <w:rPr>
          <w:rFonts w:hint="default" w:ascii="Times New Roman" w:hAnsi="Times New Roman" w:cs="Times New Roman"/>
          <w:b w:val="0"/>
          <w:bCs w:val="0"/>
          <w:color w:val="auto"/>
          <w:spacing w:val="0"/>
        </w:rPr>
        <w:t>完善城市配套保障，打造安商宜居环境</w:t>
      </w:r>
    </w:p>
    <w:p w14:paraId="7E9CC253">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（三十一）优化涉企不动产登记便利化服务。</w:t>
      </w:r>
      <w:r>
        <w:rPr>
          <w:rFonts w:hint="default" w:ascii="Times New Roman" w:hAnsi="Times New Roman" w:eastAsia="仿宋_GB2312" w:cs="Times New Roman"/>
          <w:b w:val="0"/>
          <w:bCs w:val="0"/>
          <w:color w:val="auto"/>
          <w:spacing w:val="0"/>
          <w:sz w:val="32"/>
          <w:szCs w:val="32"/>
        </w:rPr>
        <w:t>设置企业专窗，开辟“绿色通道”，集成办理企业转移登记、抵押登记、水电气热协同过户事项。查封、解押等简易登记即时办结，一般登记限时办结。靠前服务及时化解涉企不动产登记历史遗留问题。推行“交地即办证”“验收即办证”“税费同缴”常态化服务，深化“带押过户”“带封过户”“无还本续贷抵押登记”创新模式。</w:t>
      </w:r>
    </w:p>
    <w:p w14:paraId="788DEFA9">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（三十</w:t>
      </w:r>
      <w:r>
        <w:rPr>
          <w:rStyle w:val="11"/>
          <w:rFonts w:hint="default" w:ascii="Times New Roman" w:hAnsi="Times New Roman" w:eastAsia="楷体_GB2312" w:cs="Times New Roman"/>
          <w:b/>
          <w:bCs/>
          <w:color w:val="auto"/>
          <w:spacing w:val="0"/>
          <w:lang w:val="en-US" w:eastAsia="zh-CN"/>
        </w:rPr>
        <w:t>二</w:t>
      </w:r>
      <w:r>
        <w:rPr>
          <w:rStyle w:val="11"/>
          <w:rFonts w:hint="default" w:ascii="Times New Roman" w:hAnsi="Times New Roman" w:eastAsia="楷体_GB2312" w:cs="Times New Roman"/>
          <w:b/>
          <w:bCs/>
          <w:color w:val="auto"/>
          <w:spacing w:val="0"/>
          <w:lang w:eastAsia="zh-CN"/>
        </w:rPr>
        <w:t>）完善企业员工民生配套保障。</w:t>
      </w:r>
      <w:r>
        <w:rPr>
          <w:rFonts w:hint="default" w:ascii="Times New Roman" w:hAnsi="Times New Roman" w:eastAsia="仿宋_GB2312" w:cs="Times New Roman"/>
          <w:b w:val="0"/>
          <w:bCs w:val="0"/>
          <w:color w:val="auto"/>
          <w:spacing w:val="0"/>
          <w:sz w:val="32"/>
          <w:szCs w:val="32"/>
        </w:rPr>
        <w:t>推进教育、医疗、养老等公共服务提质升级，完善外来务工人员子女入学保障，解决企业员工后顾之忧。持续完善医养结合服务体系，深化基层医疗卫生服务能力提升，推广普惠托育模式，为企业员工提供普惠均等的公共服务。</w:t>
      </w:r>
    </w:p>
    <w:p w14:paraId="20FDC37F">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kern w:val="0"/>
          <w:sz w:val="32"/>
          <w:szCs w:val="32"/>
          <w:highlight w:val="none"/>
          <w:lang w:val="en-US" w:eastAsia="zh-CN" w:bidi="ar-SA"/>
        </w:rPr>
      </w:pPr>
      <w:r>
        <w:rPr>
          <w:rStyle w:val="11"/>
          <w:rFonts w:hint="default" w:ascii="Times New Roman" w:hAnsi="Times New Roman" w:eastAsia="楷体_GB2312" w:cs="Times New Roman"/>
          <w:b/>
          <w:bCs/>
          <w:color w:val="auto"/>
          <w:spacing w:val="0"/>
          <w:lang w:eastAsia="zh-CN"/>
        </w:rPr>
        <w:t>（三十</w:t>
      </w:r>
      <w:r>
        <w:rPr>
          <w:rStyle w:val="11"/>
          <w:rFonts w:hint="default" w:ascii="Times New Roman" w:hAnsi="Times New Roman" w:eastAsia="楷体_GB2312" w:cs="Times New Roman"/>
          <w:b/>
          <w:bCs/>
          <w:color w:val="auto"/>
          <w:spacing w:val="0"/>
          <w:lang w:val="en-US" w:eastAsia="zh-CN"/>
        </w:rPr>
        <w:t>三</w:t>
      </w:r>
      <w:r>
        <w:rPr>
          <w:rStyle w:val="11"/>
          <w:rFonts w:hint="default" w:ascii="Times New Roman" w:hAnsi="Times New Roman" w:eastAsia="楷体_GB2312" w:cs="Times New Roman"/>
          <w:b/>
          <w:bCs/>
          <w:color w:val="auto"/>
          <w:spacing w:val="0"/>
          <w:lang w:eastAsia="zh-CN"/>
        </w:rPr>
        <w:t>）提升城市宜居宜业服务水平。</w:t>
      </w:r>
      <w:r>
        <w:rPr>
          <w:rFonts w:hint="default" w:ascii="Times New Roman" w:hAnsi="Times New Roman" w:eastAsia="仿宋_GB2312" w:cs="Times New Roman"/>
          <w:b w:val="0"/>
          <w:bCs w:val="0"/>
          <w:color w:val="auto"/>
          <w:spacing w:val="0"/>
          <w:sz w:val="32"/>
          <w:szCs w:val="32"/>
        </w:rPr>
        <w:t>推进城市道路、公园游园、停车泊位、市政管网等基础设施建设，优化调整城市公交线路，稳步推进城市更新和老旧小区、城中村改造。</w:t>
      </w:r>
      <w:r>
        <w:rPr>
          <w:rFonts w:hint="default" w:ascii="Times New Roman" w:hAnsi="Times New Roman" w:eastAsia="仿宋_GB2312" w:cs="Times New Roman"/>
          <w:b w:val="0"/>
          <w:bCs w:val="0"/>
          <w:color w:val="auto"/>
          <w:spacing w:val="0"/>
          <w:sz w:val="32"/>
          <w:szCs w:val="32"/>
          <w:lang w:val="en-US" w:eastAsia="zh-CN"/>
        </w:rPr>
        <w:t>高</w:t>
      </w:r>
      <w:r>
        <w:rPr>
          <w:rFonts w:hint="default" w:ascii="Times New Roman" w:hAnsi="Times New Roman" w:eastAsia="仿宋_GB2312" w:cs="Times New Roman"/>
          <w:b w:val="0"/>
          <w:bCs w:val="0"/>
          <w:color w:val="auto"/>
          <w:spacing w:val="-6"/>
          <w:sz w:val="32"/>
          <w:szCs w:val="32"/>
          <w:lang w:val="en-US" w:eastAsia="zh-CN"/>
        </w:rPr>
        <w:t>标准举办辣子鸡美食文化节、青岛啤酒节枣庄分会场等活动，积极动员指导更多商家参与全省“文旅票根联盟”，联动“吃住行游购娱”全要素消费场景，积极筹办大型营业性演出，拉动周边消费。</w:t>
      </w:r>
    </w:p>
    <w:p w14:paraId="64D68A79">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（三十</w:t>
      </w:r>
      <w:r>
        <w:rPr>
          <w:rStyle w:val="11"/>
          <w:rFonts w:hint="default" w:ascii="Times New Roman" w:hAnsi="Times New Roman" w:eastAsia="楷体_GB2312" w:cs="Times New Roman"/>
          <w:b/>
          <w:bCs/>
          <w:color w:val="auto"/>
          <w:spacing w:val="0"/>
          <w:lang w:val="en-US" w:eastAsia="zh-CN"/>
        </w:rPr>
        <w:t>四</w:t>
      </w:r>
      <w:r>
        <w:rPr>
          <w:rStyle w:val="11"/>
          <w:rFonts w:hint="default" w:ascii="Times New Roman" w:hAnsi="Times New Roman" w:eastAsia="楷体_GB2312" w:cs="Times New Roman"/>
          <w:b/>
          <w:bCs/>
          <w:color w:val="auto"/>
          <w:spacing w:val="0"/>
          <w:lang w:eastAsia="zh-CN"/>
        </w:rPr>
        <w:t>）全域推进“无押金城市”建设。</w:t>
      </w:r>
      <w:r>
        <w:rPr>
          <w:rFonts w:hint="default" w:ascii="Times New Roman" w:hAnsi="Times New Roman" w:eastAsia="仿宋_GB2312" w:cs="Times New Roman"/>
          <w:b w:val="0"/>
          <w:bCs w:val="0"/>
          <w:color w:val="auto"/>
          <w:spacing w:val="0"/>
          <w:sz w:val="32"/>
          <w:szCs w:val="32"/>
        </w:rPr>
        <w:t>在医疗、文旅、住宿、出行等领域全面推行信用免押服务模式，经营性押金确需保留的，全部以信用承诺、担保等方式替代，切实降低企业经营成本和市民消费门槛。</w:t>
      </w:r>
    </w:p>
    <w:p w14:paraId="6525801E">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（三十</w:t>
      </w:r>
      <w:r>
        <w:rPr>
          <w:rStyle w:val="11"/>
          <w:rFonts w:hint="default" w:ascii="Times New Roman" w:hAnsi="Times New Roman" w:eastAsia="楷体_GB2312" w:cs="Times New Roman"/>
          <w:b/>
          <w:bCs/>
          <w:color w:val="auto"/>
          <w:spacing w:val="0"/>
          <w:lang w:val="en-US" w:eastAsia="zh-CN"/>
        </w:rPr>
        <w:t>五</w:t>
      </w:r>
      <w:r>
        <w:rPr>
          <w:rStyle w:val="11"/>
          <w:rFonts w:hint="default" w:ascii="Times New Roman" w:hAnsi="Times New Roman" w:eastAsia="楷体_GB2312" w:cs="Times New Roman"/>
          <w:b/>
          <w:bCs/>
          <w:color w:val="auto"/>
          <w:spacing w:val="0"/>
          <w:lang w:eastAsia="zh-CN"/>
        </w:rPr>
        <w:t>）营造浓厚营商氛围。</w:t>
      </w:r>
      <w:r>
        <w:rPr>
          <w:rFonts w:hint="default" w:ascii="Times New Roman" w:hAnsi="Times New Roman" w:eastAsia="仿宋_GB2312" w:cs="Times New Roman"/>
          <w:b w:val="0"/>
          <w:bCs w:val="0"/>
          <w:color w:val="auto"/>
          <w:spacing w:val="0"/>
          <w:sz w:val="32"/>
          <w:szCs w:val="32"/>
        </w:rPr>
        <w:t>加大优化营商环境主题宣传</w:t>
      </w:r>
      <w:r>
        <w:rPr>
          <w:rFonts w:hint="default" w:ascii="Times New Roman" w:hAnsi="Times New Roman" w:cs="Times New Roman"/>
          <w:b w:val="0"/>
          <w:bCs w:val="0"/>
          <w:color w:val="auto"/>
          <w:spacing w:val="0"/>
          <w:lang w:val="en-US" w:eastAsia="zh-CN"/>
        </w:rPr>
        <w:t>力度</w:t>
      </w:r>
      <w:r>
        <w:rPr>
          <w:rFonts w:hint="default" w:ascii="Times New Roman" w:hAnsi="Times New Roman" w:eastAsia="仿宋_GB2312" w:cs="Times New Roman"/>
          <w:b w:val="0"/>
          <w:bCs w:val="0"/>
          <w:color w:val="auto"/>
          <w:spacing w:val="0"/>
          <w:sz w:val="32"/>
          <w:szCs w:val="32"/>
        </w:rPr>
        <w:t>，</w:t>
      </w:r>
      <w:r>
        <w:rPr>
          <w:rFonts w:hint="default" w:ascii="Times New Roman" w:hAnsi="Times New Roman" w:eastAsia="仿宋_GB2312" w:cs="Times New Roman"/>
          <w:b w:val="0"/>
          <w:bCs w:val="0"/>
          <w:color w:val="auto"/>
          <w:spacing w:val="0"/>
          <w:sz w:val="32"/>
          <w:szCs w:val="32"/>
          <w:lang w:val="en-US" w:eastAsia="zh-CN"/>
        </w:rPr>
        <w:t>将新闻发布会现场前移至重点项目现场或工程一线，</w:t>
      </w:r>
      <w:r>
        <w:rPr>
          <w:rFonts w:hint="default" w:ascii="Times New Roman" w:hAnsi="Times New Roman" w:eastAsia="仿宋_GB2312" w:cs="Times New Roman"/>
          <w:b w:val="0"/>
          <w:bCs w:val="0"/>
          <w:color w:val="auto"/>
          <w:spacing w:val="0"/>
          <w:sz w:val="32"/>
          <w:szCs w:val="32"/>
        </w:rPr>
        <w:t>及时</w:t>
      </w:r>
      <w:r>
        <w:rPr>
          <w:rFonts w:hint="default" w:ascii="Times New Roman" w:hAnsi="Times New Roman" w:eastAsia="仿宋_GB2312" w:cs="Times New Roman"/>
          <w:b w:val="0"/>
          <w:bCs w:val="0"/>
          <w:color w:val="auto"/>
          <w:spacing w:val="0"/>
          <w:sz w:val="32"/>
          <w:szCs w:val="32"/>
          <w:lang w:eastAsia="zh-CN"/>
        </w:rPr>
        <w:t>展现</w:t>
      </w:r>
      <w:r>
        <w:rPr>
          <w:rFonts w:hint="default" w:ascii="Times New Roman" w:hAnsi="Times New Roman" w:eastAsia="仿宋_GB2312" w:cs="Times New Roman"/>
          <w:b w:val="0"/>
          <w:bCs w:val="0"/>
          <w:color w:val="auto"/>
          <w:spacing w:val="0"/>
          <w:sz w:val="32"/>
          <w:szCs w:val="32"/>
        </w:rPr>
        <w:t>改革进展和阶段性成果。各行业主管部门分行业、分片区开展线上线下政策宣讲，推动惠企政策精准入企。加强正面宣传引导，讲好</w:t>
      </w:r>
      <w:r>
        <w:rPr>
          <w:rFonts w:hint="default" w:ascii="Times New Roman" w:hAnsi="Times New Roman" w:eastAsia="仿宋_GB2312" w:cs="Times New Roman"/>
          <w:b w:val="0"/>
          <w:bCs w:val="0"/>
          <w:color w:val="auto"/>
          <w:spacing w:val="0"/>
          <w:sz w:val="32"/>
          <w:szCs w:val="32"/>
          <w:lang w:val="en-US" w:eastAsia="zh-CN"/>
        </w:rPr>
        <w:t>市中</w:t>
      </w:r>
      <w:r>
        <w:rPr>
          <w:rFonts w:hint="default" w:ascii="Times New Roman" w:hAnsi="Times New Roman" w:eastAsia="仿宋_GB2312" w:cs="Times New Roman"/>
          <w:b w:val="0"/>
          <w:bCs w:val="0"/>
          <w:color w:val="auto"/>
          <w:spacing w:val="0"/>
          <w:sz w:val="32"/>
          <w:szCs w:val="32"/>
        </w:rPr>
        <w:t>营商环境故事，营造“人人都是营商环境、事事关乎营商环境”的浓厚社会氛围。</w:t>
      </w:r>
    </w:p>
    <w:p w14:paraId="4A95C4DC">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val="0"/>
          <w:bCs w:val="0"/>
          <w:color w:val="auto"/>
          <w:spacing w:val="0"/>
          <w:sz w:val="32"/>
          <w:szCs w:val="32"/>
          <w:lang w:eastAsia="zh-CN"/>
        </w:rPr>
      </w:pPr>
      <w:r>
        <w:rPr>
          <w:rStyle w:val="11"/>
          <w:rFonts w:hint="default" w:ascii="Times New Roman" w:hAnsi="Times New Roman" w:eastAsia="楷体_GB2312" w:cs="Times New Roman"/>
          <w:b/>
          <w:bCs/>
          <w:color w:val="auto"/>
          <w:spacing w:val="0"/>
          <w:lang w:eastAsia="zh-CN"/>
        </w:rPr>
        <w:t>（三十</w:t>
      </w:r>
      <w:r>
        <w:rPr>
          <w:rStyle w:val="11"/>
          <w:rFonts w:hint="default" w:ascii="Times New Roman" w:hAnsi="Times New Roman" w:eastAsia="楷体_GB2312" w:cs="Times New Roman"/>
          <w:b/>
          <w:bCs/>
          <w:color w:val="auto"/>
          <w:spacing w:val="0"/>
          <w:lang w:val="en-US" w:eastAsia="zh-CN"/>
        </w:rPr>
        <w:t>六</w:t>
      </w:r>
      <w:r>
        <w:rPr>
          <w:rStyle w:val="11"/>
          <w:rFonts w:hint="default" w:ascii="Times New Roman" w:hAnsi="Times New Roman" w:eastAsia="楷体_GB2312" w:cs="Times New Roman"/>
          <w:b/>
          <w:bCs/>
          <w:color w:val="auto"/>
          <w:spacing w:val="0"/>
          <w:lang w:eastAsia="zh-CN"/>
        </w:rPr>
        <w:t>）筑牢安商稳商安全稳定屏障。</w:t>
      </w:r>
      <w:r>
        <w:rPr>
          <w:rFonts w:hint="default" w:ascii="Times New Roman" w:hAnsi="Times New Roman" w:eastAsia="仿宋_GB2312" w:cs="Times New Roman"/>
          <w:b w:val="0"/>
          <w:bCs w:val="0"/>
          <w:color w:val="auto"/>
          <w:spacing w:val="0"/>
          <w:sz w:val="32"/>
          <w:szCs w:val="32"/>
        </w:rPr>
        <w:t>优化营商网络环境，深入开展“清朗”“净网”专项行动，严厉惩治涉企网络侵权、造谣传谣、舆情敲诈、恶意刷评等违法违规行为，健全涉营商环境网络舆情快速核查处置机制，做好线上正向引导和线下闭环处置。深化工程建设项目“安薪之家”提质扩面，保障农民工</w:t>
      </w:r>
      <w:r>
        <w:rPr>
          <w:rFonts w:hint="default" w:ascii="Times New Roman" w:hAnsi="Times New Roman" w:eastAsia="仿宋_GB2312" w:cs="Times New Roman"/>
          <w:b w:val="0"/>
          <w:bCs w:val="0"/>
          <w:color w:val="auto"/>
          <w:spacing w:val="-6"/>
          <w:sz w:val="32"/>
          <w:szCs w:val="32"/>
        </w:rPr>
        <w:t>工资按时足额支付，推动欠薪案件动态清零，构建和谐劳动关系。</w:t>
      </w:r>
    </w:p>
    <w:p w14:paraId="00A2805E">
      <w:pPr>
        <w:pStyle w:val="5"/>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cs="Times New Roman"/>
          <w:b w:val="0"/>
          <w:bCs w:val="0"/>
          <w:color w:val="auto"/>
          <w:spacing w:val="0"/>
        </w:rPr>
      </w:pPr>
      <w:r>
        <w:rPr>
          <w:rFonts w:hint="default" w:ascii="Times New Roman" w:hAnsi="Times New Roman" w:eastAsia="仿宋_GB2312" w:cs="Times New Roman"/>
          <w:b w:val="0"/>
          <w:bCs w:val="0"/>
          <w:color w:val="auto"/>
          <w:spacing w:val="0"/>
          <w:sz w:val="32"/>
          <w:szCs w:val="32"/>
        </w:rPr>
        <w:t>区发展和改革局要发挥牵头抓总作用，统筹做好各项工作任务的责任分工与协调推进，强化跟踪督导</w:t>
      </w:r>
      <w:r>
        <w:rPr>
          <w:rFonts w:hint="default" w:ascii="Times New Roman" w:hAnsi="Times New Roman" w:cs="Times New Roman"/>
          <w:b w:val="0"/>
          <w:bCs w:val="0"/>
          <w:color w:val="auto"/>
          <w:spacing w:val="0"/>
          <w:sz w:val="32"/>
          <w:szCs w:val="32"/>
          <w:lang w:eastAsia="zh-CN"/>
        </w:rPr>
        <w:t>，</w:t>
      </w:r>
      <w:r>
        <w:rPr>
          <w:rFonts w:hint="default" w:ascii="Times New Roman" w:hAnsi="Times New Roman" w:cs="Times New Roman"/>
          <w:b w:val="0"/>
          <w:bCs w:val="0"/>
          <w:color w:val="auto"/>
          <w:spacing w:val="0"/>
          <w:sz w:val="32"/>
          <w:szCs w:val="32"/>
          <w:lang w:val="en-US" w:eastAsia="zh-CN"/>
        </w:rPr>
        <w:t>持续提升工作质效</w:t>
      </w:r>
      <w:r>
        <w:rPr>
          <w:rFonts w:hint="default" w:ascii="Times New Roman" w:hAnsi="Times New Roman" w:eastAsia="仿宋_GB2312" w:cs="Times New Roman"/>
          <w:b w:val="0"/>
          <w:bCs w:val="0"/>
          <w:color w:val="auto"/>
          <w:spacing w:val="0"/>
          <w:sz w:val="32"/>
          <w:szCs w:val="32"/>
        </w:rPr>
        <w:t>。各级各部门要切实提高政治站位，</w:t>
      </w:r>
      <w:r>
        <w:rPr>
          <w:rFonts w:hint="default" w:ascii="Times New Roman" w:hAnsi="Times New Roman" w:eastAsia="仿宋_GB2312" w:cs="Times New Roman"/>
          <w:b w:val="0"/>
          <w:bCs w:val="0"/>
          <w:color w:val="auto"/>
          <w:spacing w:val="0"/>
          <w:sz w:val="32"/>
          <w:szCs w:val="32"/>
          <w:lang w:val="en-US" w:eastAsia="zh-CN"/>
        </w:rPr>
        <w:t>积极践行</w:t>
      </w:r>
      <w:r>
        <w:rPr>
          <w:rFonts w:hint="default" w:ascii="Times New Roman" w:hAnsi="Times New Roman" w:eastAsia="仿宋_GB2312" w:cs="Times New Roman"/>
          <w:b w:val="0"/>
          <w:bCs w:val="0"/>
          <w:color w:val="auto"/>
          <w:spacing w:val="0"/>
          <w:sz w:val="32"/>
          <w:szCs w:val="32"/>
        </w:rPr>
        <w:t>“不叫不到、随叫随到、说到做到、服务周到”</w:t>
      </w:r>
      <w:r>
        <w:rPr>
          <w:rFonts w:hint="default" w:ascii="Times New Roman" w:hAnsi="Times New Roman" w:eastAsia="仿宋_GB2312" w:cs="Times New Roman"/>
          <w:b w:val="0"/>
          <w:bCs w:val="0"/>
          <w:color w:val="auto"/>
          <w:spacing w:val="0"/>
          <w:sz w:val="32"/>
          <w:szCs w:val="32"/>
          <w:lang w:val="en-US" w:eastAsia="zh-CN"/>
        </w:rPr>
        <w:t>的服务理念，对照工作方案</w:t>
      </w:r>
      <w:r>
        <w:rPr>
          <w:rFonts w:hint="default" w:ascii="Times New Roman" w:hAnsi="Times New Roman" w:eastAsia="仿宋_GB2312" w:cs="Times New Roman"/>
          <w:b w:val="0"/>
          <w:bCs w:val="0"/>
          <w:color w:val="auto"/>
          <w:spacing w:val="0"/>
          <w:sz w:val="32"/>
          <w:szCs w:val="32"/>
        </w:rPr>
        <w:t>细化举措、压实责任、明确节点，确保各项举措落地见效；要深化市场主体精细化服务与常态化走访，持续提升市场主体满意度；要常态化梳理总结改革创新经验做法，打造一批具有</w:t>
      </w:r>
      <w:r>
        <w:rPr>
          <w:rFonts w:hint="default" w:ascii="Times New Roman" w:hAnsi="Times New Roman" w:eastAsia="仿宋_GB2312" w:cs="Times New Roman"/>
          <w:b w:val="0"/>
          <w:bCs w:val="0"/>
          <w:color w:val="auto"/>
          <w:spacing w:val="0"/>
          <w:sz w:val="32"/>
          <w:szCs w:val="32"/>
          <w:lang w:eastAsia="zh-CN"/>
        </w:rPr>
        <w:t>我区特色</w:t>
      </w:r>
      <w:r>
        <w:rPr>
          <w:rFonts w:hint="default" w:ascii="Times New Roman" w:hAnsi="Times New Roman" w:eastAsia="仿宋_GB2312" w:cs="Times New Roman"/>
          <w:b w:val="0"/>
          <w:bCs w:val="0"/>
          <w:color w:val="auto"/>
          <w:spacing w:val="0"/>
          <w:sz w:val="32"/>
          <w:szCs w:val="32"/>
        </w:rPr>
        <w:t>的标志性成果，推动全</w:t>
      </w:r>
      <w:r>
        <w:rPr>
          <w:rFonts w:hint="default" w:ascii="Times New Roman" w:hAnsi="Times New Roman" w:eastAsia="仿宋_GB2312" w:cs="Times New Roman"/>
          <w:b w:val="0"/>
          <w:bCs w:val="0"/>
          <w:color w:val="auto"/>
          <w:spacing w:val="0"/>
          <w:sz w:val="32"/>
          <w:szCs w:val="32"/>
          <w:lang w:eastAsia="zh-CN"/>
        </w:rPr>
        <w:t>区</w:t>
      </w:r>
      <w:r>
        <w:rPr>
          <w:rFonts w:hint="default" w:ascii="Times New Roman" w:hAnsi="Times New Roman" w:eastAsia="仿宋_GB2312" w:cs="Times New Roman"/>
          <w:b w:val="0"/>
          <w:bCs w:val="0"/>
          <w:color w:val="auto"/>
          <w:spacing w:val="0"/>
          <w:sz w:val="32"/>
          <w:szCs w:val="32"/>
        </w:rPr>
        <w:t>营商环境提质升级，以一流营商环境赋能全</w:t>
      </w:r>
      <w:r>
        <w:rPr>
          <w:rFonts w:hint="default" w:ascii="Times New Roman" w:hAnsi="Times New Roman" w:eastAsia="仿宋_GB2312" w:cs="Times New Roman"/>
          <w:b w:val="0"/>
          <w:bCs w:val="0"/>
          <w:color w:val="auto"/>
          <w:spacing w:val="0"/>
          <w:sz w:val="32"/>
          <w:szCs w:val="32"/>
          <w:lang w:val="en-US" w:eastAsia="zh-CN"/>
        </w:rPr>
        <w:t>区</w:t>
      </w:r>
      <w:r>
        <w:rPr>
          <w:rFonts w:hint="default" w:ascii="Times New Roman" w:hAnsi="Times New Roman" w:eastAsia="仿宋_GB2312" w:cs="Times New Roman"/>
          <w:b w:val="0"/>
          <w:bCs w:val="0"/>
          <w:color w:val="auto"/>
          <w:spacing w:val="0"/>
          <w:sz w:val="32"/>
          <w:szCs w:val="32"/>
        </w:rPr>
        <w:t>经济社会高质量发展。</w:t>
      </w:r>
    </w:p>
    <w:tbl>
      <w:tblPr>
        <w:tblStyle w:val="9"/>
        <w:tblpPr w:leftFromText="180" w:rightFromText="180" w:vertAnchor="text" w:horzAnchor="page" w:tblpX="1763" w:tblpY="2031"/>
        <w:tblOverlap w:val="never"/>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0"/>
      </w:tblGrid>
      <w:tr w14:paraId="313DE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20" w:type="dxa"/>
            <w:tcBorders>
              <w:left w:val="nil"/>
              <w:right w:val="nil"/>
            </w:tcBorders>
            <w:noWrap w:val="0"/>
            <w:vAlign w:val="top"/>
          </w:tcPr>
          <w:p w14:paraId="50A5D085">
            <w:pPr>
              <w:pageBreakBefore w:val="0"/>
              <w:widowControl w:val="0"/>
              <w:kinsoku/>
              <w:wordWrap/>
              <w:topLinePunct w:val="0"/>
              <w:autoSpaceDE/>
              <w:autoSpaceDN/>
              <w:bidi w:val="0"/>
              <w:adjustRightInd/>
              <w:snapToGrid/>
              <w:ind w:left="0" w:leftChars="0"/>
              <w:jc w:val="both"/>
              <w:textAlignment w:val="auto"/>
              <w:rPr>
                <w:rFonts w:hint="default" w:ascii="Times New Roman" w:hAnsi="Times New Roman" w:eastAsia="仿宋_GB2312" w:cs="Times New Roman"/>
                <w:b w:val="0"/>
                <w:bCs w:val="0"/>
                <w:snapToGrid w:val="0"/>
                <w:color w:val="000000"/>
                <w:kern w:val="0"/>
                <w:sz w:val="28"/>
                <w:szCs w:val="28"/>
              </w:rPr>
            </w:pPr>
            <w:r>
              <w:rPr>
                <w:rFonts w:hint="default" w:ascii="Times New Roman" w:hAnsi="Times New Roman" w:eastAsia="仿宋_GB2312" w:cs="Times New Roman"/>
                <w:b w:val="0"/>
                <w:bCs w:val="0"/>
                <w:color w:val="000000"/>
                <w:kern w:val="0"/>
                <w:sz w:val="31"/>
                <w:szCs w:val="31"/>
                <w:lang w:val="en-US" w:eastAsia="zh-CN" w:bidi="ar"/>
              </w:rPr>
              <w:t>枣庄市市中区人民政府办公室          202</w:t>
            </w:r>
            <w:r>
              <w:rPr>
                <w:rFonts w:hint="eastAsia" w:ascii="Times New Roman" w:hAnsi="Times New Roman" w:eastAsia="仿宋_GB2312" w:cs="Times New Roman"/>
                <w:b w:val="0"/>
                <w:bCs w:val="0"/>
                <w:color w:val="000000"/>
                <w:kern w:val="0"/>
                <w:sz w:val="31"/>
                <w:szCs w:val="31"/>
                <w:lang w:val="en-US" w:eastAsia="zh-CN" w:bidi="ar"/>
              </w:rPr>
              <w:t>6</w:t>
            </w:r>
            <w:r>
              <w:rPr>
                <w:rFonts w:hint="default" w:ascii="Times New Roman" w:hAnsi="Times New Roman" w:eastAsia="仿宋_GB2312" w:cs="Times New Roman"/>
                <w:b w:val="0"/>
                <w:bCs w:val="0"/>
                <w:color w:val="000000"/>
                <w:kern w:val="0"/>
                <w:sz w:val="31"/>
                <w:szCs w:val="31"/>
                <w:lang w:val="en-US" w:eastAsia="zh-CN" w:bidi="ar"/>
              </w:rPr>
              <w:t>年</w:t>
            </w:r>
            <w:r>
              <w:rPr>
                <w:rFonts w:hint="eastAsia" w:ascii="Times New Roman" w:hAnsi="Times New Roman" w:eastAsia="仿宋_GB2312" w:cs="Times New Roman"/>
                <w:b w:val="0"/>
                <w:bCs w:val="0"/>
                <w:color w:val="000000"/>
                <w:kern w:val="0"/>
                <w:sz w:val="31"/>
                <w:szCs w:val="31"/>
                <w:lang w:val="en-US" w:eastAsia="zh-CN" w:bidi="ar"/>
              </w:rPr>
              <w:t>9</w:t>
            </w:r>
            <w:r>
              <w:rPr>
                <w:rFonts w:hint="default" w:ascii="Times New Roman" w:hAnsi="Times New Roman" w:eastAsia="仿宋_GB2312" w:cs="Times New Roman"/>
                <w:b w:val="0"/>
                <w:bCs w:val="0"/>
                <w:color w:val="000000"/>
                <w:kern w:val="0"/>
                <w:sz w:val="31"/>
                <w:szCs w:val="31"/>
                <w:lang w:val="en-US" w:eastAsia="zh-CN" w:bidi="ar"/>
              </w:rPr>
              <w:t>月</w:t>
            </w:r>
            <w:r>
              <w:rPr>
                <w:rFonts w:hint="eastAsia" w:ascii="Times New Roman" w:hAnsi="Times New Roman" w:eastAsia="仿宋_GB2312" w:cs="Times New Roman"/>
                <w:b w:val="0"/>
                <w:bCs w:val="0"/>
                <w:color w:val="000000"/>
                <w:kern w:val="0"/>
                <w:sz w:val="31"/>
                <w:szCs w:val="31"/>
                <w:lang w:val="en-US" w:eastAsia="zh-CN" w:bidi="ar"/>
              </w:rPr>
              <w:t>9</w:t>
            </w:r>
            <w:r>
              <w:rPr>
                <w:rFonts w:hint="default" w:ascii="Times New Roman" w:hAnsi="Times New Roman" w:eastAsia="仿宋_GB2312" w:cs="Times New Roman"/>
                <w:b w:val="0"/>
                <w:bCs w:val="0"/>
                <w:color w:val="000000"/>
                <w:kern w:val="0"/>
                <w:sz w:val="31"/>
                <w:szCs w:val="31"/>
                <w:lang w:val="en-US" w:eastAsia="zh-CN" w:bidi="ar"/>
              </w:rPr>
              <w:t>日印发</w:t>
            </w:r>
          </w:p>
        </w:tc>
      </w:tr>
    </w:tbl>
    <w:p w14:paraId="6BFDDA87">
      <w:pPr>
        <w:pStyle w:val="5"/>
        <w:pageBreakBefore w:val="0"/>
        <w:widowControl/>
        <w:numPr>
          <w:ilvl w:val="0"/>
          <w:numId w:val="0"/>
        </w:numPr>
        <w:kinsoku/>
        <w:wordWrap/>
        <w:overflowPunct/>
        <w:topLinePunct w:val="0"/>
        <w:autoSpaceDE/>
        <w:autoSpaceDN/>
        <w:bidi w:val="0"/>
        <w:adjustRightInd/>
        <w:snapToGrid/>
        <w:spacing w:line="560" w:lineRule="exact"/>
        <w:ind w:left="0" w:leftChars="0" w:firstLine="616" w:firstLineChars="200"/>
        <w:textAlignment w:val="auto"/>
        <w:rPr>
          <w:b w:val="0"/>
          <w:bCs w:val="0"/>
          <w:color w:val="auto"/>
        </w:rPr>
      </w:pPr>
    </w:p>
    <w:sectPr>
      <w:footerReference r:id="rId3" w:type="default"/>
      <w:pgSz w:w="11906" w:h="16838"/>
      <w:pgMar w:top="1644" w:right="1644" w:bottom="1644" w:left="1644" w:header="851" w:footer="1417"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8C49139-BC3B-40C6-BCCB-1EEDB23950CD}"/>
  </w:font>
  <w:font w:name="Courier New">
    <w:altName w:val="Courier"/>
    <w:panose1 w:val="02070309020205020404"/>
    <w:charset w:val="01"/>
    <w:family w:val="modern"/>
    <w:pitch w:val="default"/>
    <w:sig w:usb0="E0002AFF" w:usb1="C0007843" w:usb2="00000009" w:usb3="00000000" w:csb0="400001FF" w:csb1="FFFF0000"/>
  </w:font>
  <w:font w:name="Symbol">
    <w:altName w:val="Segoe UI 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0C83496B-8675-4D3E-B6AF-337D873E5841}"/>
  </w:font>
  <w:font w:name="楷体_GB2312">
    <w:panose1 w:val="02010609030101010101"/>
    <w:charset w:val="86"/>
    <w:family w:val="auto"/>
    <w:pitch w:val="default"/>
    <w:sig w:usb0="00000001" w:usb1="080E0000" w:usb2="00000000" w:usb3="00000000" w:csb0="00040000" w:csb1="00000000"/>
    <w:embedRegular r:id="rId3" w:fontKey="{CAB4EB7C-1BFD-46D7-9DF6-77716BC420EF}"/>
  </w:font>
  <w:font w:name="仿宋_GB2312">
    <w:panose1 w:val="02010609030101010101"/>
    <w:charset w:val="86"/>
    <w:family w:val="auto"/>
    <w:pitch w:val="default"/>
    <w:sig w:usb0="00000001" w:usb1="080E0000" w:usb2="00000000" w:usb3="00000000" w:csb0="00040000" w:csb1="00000000"/>
    <w:embedRegular r:id="rId4" w:fontKey="{00BBDDCA-AEEA-43FC-9CDE-9D281CAFE9FD}"/>
  </w:font>
  <w:font w:name="方正小标宋简体">
    <w:panose1 w:val="02000000000000000000"/>
    <w:charset w:val="86"/>
    <w:family w:val="auto"/>
    <w:pitch w:val="default"/>
    <w:sig w:usb0="00000001" w:usb1="080E0000" w:usb2="00000000" w:usb3="00000000" w:csb0="00040000" w:csb1="00000000"/>
    <w:embedRegular r:id="rId5" w:fontKey="{E512DDF1-F8D3-4F29-9DB1-A2AC7BA63566}"/>
  </w:font>
  <w:font w:name="华文中宋">
    <w:panose1 w:val="02010600040101010101"/>
    <w:charset w:val="86"/>
    <w:family w:val="auto"/>
    <w:pitch w:val="default"/>
    <w:sig w:usb0="00000287" w:usb1="080F0000" w:usb2="00000000" w:usb3="00000000" w:csb0="0004009F" w:csb1="DFD70000"/>
    <w:embedRegular r:id="rId6" w:fontKey="{51CE3F16-05F5-44BE-8DE9-06C7A60533C2}"/>
  </w:font>
  <w:font w:name="Courier">
    <w:panose1 w:val="02060409020205020404"/>
    <w:charset w:val="00"/>
    <w:family w:val="auto"/>
    <w:pitch w:val="default"/>
    <w:sig w:usb0="00000007" w:usb1="00000000" w:usb2="00000000" w:usb3="00000000" w:csb0="00000093"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66012">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0933CE">
                          <w:pPr>
                            <w:pStyle w:val="7"/>
                            <w:rPr>
                              <w:rFonts w:hint="default" w:ascii="Times New Roman" w:hAnsi="Times New Roman" w:cs="Times New Roman"/>
                              <w:sz w:val="32"/>
                              <w:szCs w:val="32"/>
                            </w:rPr>
                          </w:pPr>
                          <w:r>
                            <w:rPr>
                              <w:rFonts w:hint="default" w:ascii="Times New Roman" w:hAnsi="Times New Roman" w:cs="Times New Roman"/>
                              <w:sz w:val="32"/>
                              <w:szCs w:val="32"/>
                            </w:rPr>
                            <w:t xml:space="preserve">— </w:t>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  \* MERGEFORMAT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1</w:t>
                          </w:r>
                          <w:r>
                            <w:rPr>
                              <w:rFonts w:hint="default" w:ascii="Times New Roman" w:hAnsi="Times New Roman" w:cs="Times New Roman"/>
                              <w:sz w:val="32"/>
                              <w:szCs w:val="32"/>
                            </w:rPr>
                            <w:fldChar w:fldCharType="end"/>
                          </w:r>
                          <w:r>
                            <w:rPr>
                              <w:rFonts w:hint="default" w:ascii="Times New Roman" w:hAnsi="Times New Roman" w:cs="Times New Roman"/>
                              <w:sz w:val="32"/>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40933CE">
                    <w:pPr>
                      <w:pStyle w:val="7"/>
                      <w:rPr>
                        <w:rFonts w:hint="default" w:ascii="Times New Roman" w:hAnsi="Times New Roman" w:cs="Times New Roman"/>
                        <w:sz w:val="32"/>
                        <w:szCs w:val="32"/>
                      </w:rPr>
                    </w:pPr>
                    <w:r>
                      <w:rPr>
                        <w:rFonts w:hint="default" w:ascii="Times New Roman" w:hAnsi="Times New Roman" w:cs="Times New Roman"/>
                        <w:sz w:val="32"/>
                        <w:szCs w:val="32"/>
                      </w:rPr>
                      <w:t xml:space="preserve">— </w:t>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  \* MERGEFORMAT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1</w:t>
                    </w:r>
                    <w:r>
                      <w:rPr>
                        <w:rFonts w:hint="default" w:ascii="Times New Roman" w:hAnsi="Times New Roman" w:cs="Times New Roman"/>
                        <w:sz w:val="32"/>
                        <w:szCs w:val="32"/>
                      </w:rPr>
                      <w:fldChar w:fldCharType="end"/>
                    </w:r>
                    <w:r>
                      <w:rPr>
                        <w:rFonts w:hint="default" w:ascii="Times New Roman" w:hAnsi="Times New Roman" w:cs="Times New Roman"/>
                        <w:sz w:val="32"/>
                        <w:szCs w:val="32"/>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DB7009"/>
    <w:rsid w:val="0260595B"/>
    <w:rsid w:val="038F73BE"/>
    <w:rsid w:val="05477AB8"/>
    <w:rsid w:val="05C70E9C"/>
    <w:rsid w:val="0654684B"/>
    <w:rsid w:val="06991D1F"/>
    <w:rsid w:val="071C07CE"/>
    <w:rsid w:val="0957193B"/>
    <w:rsid w:val="09E60A05"/>
    <w:rsid w:val="0A805238"/>
    <w:rsid w:val="0C1D1389"/>
    <w:rsid w:val="0C9E0066"/>
    <w:rsid w:val="0DAE649D"/>
    <w:rsid w:val="0E623A3A"/>
    <w:rsid w:val="0EE541B9"/>
    <w:rsid w:val="0F621316"/>
    <w:rsid w:val="0F8B2B40"/>
    <w:rsid w:val="10977CE3"/>
    <w:rsid w:val="11551A52"/>
    <w:rsid w:val="12C71035"/>
    <w:rsid w:val="14983C16"/>
    <w:rsid w:val="14CC3796"/>
    <w:rsid w:val="155F4841"/>
    <w:rsid w:val="1B513EBB"/>
    <w:rsid w:val="1B636B19"/>
    <w:rsid w:val="1C9B4F94"/>
    <w:rsid w:val="1DBB273F"/>
    <w:rsid w:val="1FA24217"/>
    <w:rsid w:val="20BE3578"/>
    <w:rsid w:val="2286048A"/>
    <w:rsid w:val="2526546B"/>
    <w:rsid w:val="282E689E"/>
    <w:rsid w:val="287C121A"/>
    <w:rsid w:val="2AE474F4"/>
    <w:rsid w:val="2B6D58EC"/>
    <w:rsid w:val="2C977C17"/>
    <w:rsid w:val="2E417E35"/>
    <w:rsid w:val="2E5844D8"/>
    <w:rsid w:val="2FD63531"/>
    <w:rsid w:val="332D241A"/>
    <w:rsid w:val="35DB7009"/>
    <w:rsid w:val="35F72828"/>
    <w:rsid w:val="37A061F9"/>
    <w:rsid w:val="37AE6F16"/>
    <w:rsid w:val="38A76D38"/>
    <w:rsid w:val="38C033A5"/>
    <w:rsid w:val="393B345A"/>
    <w:rsid w:val="393D2C48"/>
    <w:rsid w:val="3A78714A"/>
    <w:rsid w:val="3A840D7C"/>
    <w:rsid w:val="3B164ACC"/>
    <w:rsid w:val="3C926E07"/>
    <w:rsid w:val="3CCA2637"/>
    <w:rsid w:val="3CCF635A"/>
    <w:rsid w:val="3D2802C1"/>
    <w:rsid w:val="3E9221DF"/>
    <w:rsid w:val="3EB74C59"/>
    <w:rsid w:val="3EC82FB3"/>
    <w:rsid w:val="3F004AA4"/>
    <w:rsid w:val="3F613DC8"/>
    <w:rsid w:val="3FF57DD8"/>
    <w:rsid w:val="40A24CF8"/>
    <w:rsid w:val="40FC411A"/>
    <w:rsid w:val="41036525"/>
    <w:rsid w:val="41386FCC"/>
    <w:rsid w:val="41C31810"/>
    <w:rsid w:val="420F20CF"/>
    <w:rsid w:val="42A30CD6"/>
    <w:rsid w:val="42AB6E74"/>
    <w:rsid w:val="42DF7E5E"/>
    <w:rsid w:val="432B35CB"/>
    <w:rsid w:val="44880FE3"/>
    <w:rsid w:val="485A0F6B"/>
    <w:rsid w:val="4AA8171D"/>
    <w:rsid w:val="4B7E4E3D"/>
    <w:rsid w:val="4BEA27BB"/>
    <w:rsid w:val="4CBA6B21"/>
    <w:rsid w:val="50061F1C"/>
    <w:rsid w:val="532F3517"/>
    <w:rsid w:val="56847A66"/>
    <w:rsid w:val="57446B04"/>
    <w:rsid w:val="58AD2F2D"/>
    <w:rsid w:val="58DC797F"/>
    <w:rsid w:val="5CE35741"/>
    <w:rsid w:val="5E100764"/>
    <w:rsid w:val="5F285182"/>
    <w:rsid w:val="61A33DC6"/>
    <w:rsid w:val="628023EC"/>
    <w:rsid w:val="62D41677"/>
    <w:rsid w:val="63171A9A"/>
    <w:rsid w:val="63234886"/>
    <w:rsid w:val="6346416D"/>
    <w:rsid w:val="634F41FF"/>
    <w:rsid w:val="65C60DEB"/>
    <w:rsid w:val="662D20ED"/>
    <w:rsid w:val="664D3735"/>
    <w:rsid w:val="66E421D7"/>
    <w:rsid w:val="67BB30D1"/>
    <w:rsid w:val="69A31AC2"/>
    <w:rsid w:val="6F062BB9"/>
    <w:rsid w:val="72693B8A"/>
    <w:rsid w:val="72916C3D"/>
    <w:rsid w:val="75120509"/>
    <w:rsid w:val="752A3374"/>
    <w:rsid w:val="75AE7EFC"/>
    <w:rsid w:val="770D57A3"/>
    <w:rsid w:val="77655A9F"/>
    <w:rsid w:val="7BA061B5"/>
    <w:rsid w:val="7BDE7397"/>
    <w:rsid w:val="7BE22365"/>
    <w:rsid w:val="7BF02B58"/>
    <w:rsid w:val="7EAD767A"/>
    <w:rsid w:val="BF3D45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next w:val="1"/>
    <w:qFormat/>
    <w:uiPriority w:val="0"/>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4">
    <w:name w:val="heading 2"/>
    <w:next w:val="1"/>
    <w:link w:val="11"/>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5">
    <w:name w:val="Body Text"/>
    <w:qForma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6">
    <w:name w:val="Body Text Indent 2"/>
    <w:basedOn w:val="1"/>
    <w:qFormat/>
    <w:uiPriority w:val="0"/>
    <w:pPr>
      <w:spacing w:after="120" w:line="480" w:lineRule="auto"/>
      <w:ind w:left="420" w:leftChars="2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11">
    <w:name w:val="标题 2 Char3"/>
    <w:link w:val="4"/>
    <w:qFormat/>
    <w:uiPriority w:val="0"/>
    <w:rPr>
      <w:rFonts w:ascii="Times New Roman" w:hAnsi="Times New Roman" w:eastAsia="楷体_GB2312" w:cs="楷体_GB2312"/>
      <w:sz w:val="32"/>
      <w:szCs w:val="32"/>
    </w:rPr>
  </w:style>
  <w:style w:type="character" w:customStyle="1" w:styleId="12">
    <w:name w:val="标题 2 Char2"/>
    <w:qFormat/>
    <w:uiPriority w:val="0"/>
    <w:rPr>
      <w:rFonts w:ascii="Times New Roman" w:hAnsi="Times New Roman" w:eastAsia="楷体_GB2312" w:cs="楷体_GB231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6652</Words>
  <Characters>6703</Characters>
  <Lines>0</Lines>
  <Paragraphs>0</Paragraphs>
  <TotalTime>5</TotalTime>
  <ScaleCrop>false</ScaleCrop>
  <LinksUpToDate>false</LinksUpToDate>
  <CharactersWithSpaces>6751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2026-06-15T15:17:00Z</dcterms:created>
  <dc:creator>留白</dc:creator>
  <cp:lastModifiedBy>颜</cp:lastModifiedBy>
  <cp:lastPrinted>2026-07-03T07:36:00Z</cp:lastPrinted>
  <dcterms:modified xsi:type="dcterms:W3CDTF">2026-09-09T02:06:37Z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eyJoZGlkIjoiZWMyZTUwNzlkOTJkYTBjNmI3YTM1N2I5ODdjZGE5NjQiLCJ1c2VySWQiOiI1OTI1MDE1NDYifQ==</vt:lpwstr>
  </property>
  <property fmtid="{D5CDD505-2E9C-101B-9397-08002B2CF9AE}" pid="4" name="ICV">
    <vt:lpwstr>952A9EAC7A8742A4AD2D7A10CD16ED16_12</vt:lpwstr>
  </property>
</Properties>
</file>